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E698" w14:textId="3A963777" w:rsidR="00357D9D" w:rsidRDefault="003C436C">
      <w:r>
        <w:rPr>
          <w:noProof/>
        </w:rPr>
        <w:drawing>
          <wp:anchor distT="0" distB="0" distL="114300" distR="114300" simplePos="0" relativeHeight="251668480" behindDoc="0" locked="0" layoutInCell="1" allowOverlap="1" wp14:anchorId="2FDAAF3E" wp14:editId="1487C551">
            <wp:simplePos x="0" y="0"/>
            <wp:positionH relativeFrom="page">
              <wp:posOffset>19050</wp:posOffset>
            </wp:positionH>
            <wp:positionV relativeFrom="paragraph">
              <wp:posOffset>-914400</wp:posOffset>
            </wp:positionV>
            <wp:extent cx="7798547" cy="12495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8547" cy="1249500"/>
                    </a:xfrm>
                    <a:prstGeom prst="rect">
                      <a:avLst/>
                    </a:prstGeom>
                  </pic:spPr>
                </pic:pic>
              </a:graphicData>
            </a:graphic>
            <wp14:sizeRelH relativeFrom="margin">
              <wp14:pctWidth>0</wp14:pctWidth>
            </wp14:sizeRelH>
            <wp14:sizeRelV relativeFrom="margin">
              <wp14:pctHeight>0</wp14:pctHeight>
            </wp14:sizeRelV>
          </wp:anchor>
        </w:drawing>
      </w:r>
    </w:p>
    <w:p w14:paraId="5225466B" w14:textId="77777777" w:rsidR="003C436C" w:rsidRDefault="003C436C" w:rsidP="004B633C">
      <w:pPr>
        <w:pStyle w:val="MemorandumName"/>
      </w:pPr>
      <w:bookmarkStart w:id="0" w:name="_Hlk520980307"/>
      <w:bookmarkStart w:id="1" w:name="_Toc422204185"/>
      <w:bookmarkStart w:id="2" w:name="_Toc489972588"/>
    </w:p>
    <w:bookmarkEnd w:id="0"/>
    <w:p w14:paraId="42E63DBE" w14:textId="2B50C566" w:rsidR="004B633C" w:rsidRPr="004627C8" w:rsidRDefault="00421844" w:rsidP="004B633C">
      <w:pPr>
        <w:pStyle w:val="MemorandumName"/>
      </w:pPr>
      <w:r>
        <w:t>Task 3 Project Website Content</w:t>
      </w:r>
    </w:p>
    <w:bookmarkEnd w:id="1"/>
    <w:bookmarkEnd w:id="2"/>
    <w:p w14:paraId="5810A721" w14:textId="09931FFC" w:rsidR="00AE79AA" w:rsidRDefault="00AE79AA" w:rsidP="00AE79AA">
      <w:pPr>
        <w:pStyle w:val="Heading1"/>
      </w:pPr>
      <w:r>
        <w:t xml:space="preserve">Existing System </w:t>
      </w:r>
      <w:r w:rsidR="00512556">
        <w:t>Conditions</w:t>
      </w:r>
    </w:p>
    <w:p w14:paraId="4030E92B" w14:textId="0A6BE466" w:rsidR="00512556" w:rsidRPr="00512556" w:rsidRDefault="00AC00D4" w:rsidP="00AE79AA">
      <w:pPr>
        <w:rPr>
          <w:lang w:eastAsia="ja-JP"/>
        </w:rPr>
      </w:pPr>
      <w:r>
        <w:rPr>
          <w:lang w:eastAsia="ja-JP"/>
        </w:rPr>
        <w:t xml:space="preserve">The following provides an overview UPTD’s existing services, ridership trends, and budget and costs. For more information on the existing system conditions, please see the full </w:t>
      </w:r>
      <w:r w:rsidR="00512556" w:rsidRPr="00512556">
        <w:rPr>
          <w:lang w:eastAsia="ja-JP"/>
        </w:rPr>
        <w:t>Memo 1: Existing System Conditions</w:t>
      </w:r>
      <w:r>
        <w:rPr>
          <w:lang w:eastAsia="ja-JP"/>
        </w:rPr>
        <w:t xml:space="preserve">. </w:t>
      </w:r>
    </w:p>
    <w:p w14:paraId="645506C7" w14:textId="1B6A4677" w:rsidR="00512556" w:rsidRDefault="00512556" w:rsidP="00512556">
      <w:pPr>
        <w:pStyle w:val="Heading2"/>
        <w:rPr>
          <w:lang w:eastAsia="ja-JP"/>
        </w:rPr>
      </w:pPr>
      <w:r>
        <w:rPr>
          <w:lang w:eastAsia="ja-JP"/>
        </w:rPr>
        <w:t xml:space="preserve">Existing </w:t>
      </w:r>
      <w:r w:rsidR="00145B5C">
        <w:rPr>
          <w:lang w:eastAsia="ja-JP"/>
        </w:rPr>
        <w:t>Services</w:t>
      </w:r>
    </w:p>
    <w:p w14:paraId="6E9D8DC0" w14:textId="36966C82" w:rsidR="00AE79AA" w:rsidRDefault="00AE79AA" w:rsidP="00AE79AA">
      <w:pPr>
        <w:rPr>
          <w:lang w:eastAsia="ja-JP"/>
        </w:rPr>
      </w:pPr>
      <w:r>
        <w:rPr>
          <w:b/>
          <w:iCs/>
          <w:sz w:val="18"/>
          <w:szCs w:val="18"/>
          <w:lang w:eastAsia="ja-JP"/>
        </w:rPr>
        <w:fldChar w:fldCharType="begin"/>
      </w:r>
      <w:r>
        <w:rPr>
          <w:lang w:eastAsia="ja-JP"/>
        </w:rPr>
        <w:instrText xml:space="preserve"> REF _Ref75531692 \h </w:instrText>
      </w:r>
      <w:r>
        <w:rPr>
          <w:b/>
          <w:iCs/>
          <w:sz w:val="18"/>
          <w:szCs w:val="18"/>
          <w:lang w:eastAsia="ja-JP"/>
        </w:rPr>
      </w:r>
      <w:r>
        <w:rPr>
          <w:b/>
          <w:iCs/>
          <w:sz w:val="18"/>
          <w:szCs w:val="18"/>
          <w:lang w:eastAsia="ja-JP"/>
        </w:rPr>
        <w:fldChar w:fldCharType="separate"/>
      </w:r>
      <w:r w:rsidR="00512556">
        <w:t xml:space="preserve">Table </w:t>
      </w:r>
      <w:r w:rsidR="00512556">
        <w:rPr>
          <w:noProof/>
        </w:rPr>
        <w:t>1</w:t>
      </w:r>
      <w:r>
        <w:rPr>
          <w:b/>
          <w:iCs/>
          <w:sz w:val="18"/>
          <w:szCs w:val="18"/>
          <w:lang w:eastAsia="ja-JP"/>
        </w:rPr>
        <w:fldChar w:fldCharType="end"/>
      </w:r>
      <w:r>
        <w:rPr>
          <w:lang w:eastAsia="ja-JP"/>
        </w:rPr>
        <w:t xml:space="preserve"> summarizes each Douglas County transportation provider by the provider type (public or private), type(s) of service, operating hours, and general service areas. </w:t>
      </w:r>
      <w:r>
        <w:rPr>
          <w:lang w:eastAsia="ja-JP"/>
        </w:rPr>
        <w:fldChar w:fldCharType="begin"/>
      </w:r>
      <w:r>
        <w:rPr>
          <w:lang w:eastAsia="ja-JP"/>
        </w:rPr>
        <w:instrText xml:space="preserve"> REF _Ref80784384 \h </w:instrText>
      </w:r>
      <w:r>
        <w:rPr>
          <w:lang w:eastAsia="ja-JP"/>
        </w:rPr>
      </w:r>
      <w:r>
        <w:rPr>
          <w:lang w:eastAsia="ja-JP"/>
        </w:rPr>
        <w:fldChar w:fldCharType="separate"/>
      </w:r>
      <w:r w:rsidR="00512556">
        <w:t xml:space="preserve">Figure </w:t>
      </w:r>
      <w:r w:rsidR="00512556">
        <w:rPr>
          <w:noProof/>
        </w:rPr>
        <w:t>1</w:t>
      </w:r>
      <w:r>
        <w:rPr>
          <w:lang w:eastAsia="ja-JP"/>
        </w:rPr>
        <w:fldChar w:fldCharType="end"/>
      </w:r>
      <w:r>
        <w:rPr>
          <w:lang w:eastAsia="ja-JP"/>
        </w:rPr>
        <w:t xml:space="preserve"> a service map of services provided in the county and </w:t>
      </w:r>
      <w:r>
        <w:rPr>
          <w:lang w:eastAsia="ja-JP"/>
        </w:rPr>
        <w:fldChar w:fldCharType="begin"/>
      </w:r>
      <w:r>
        <w:rPr>
          <w:lang w:eastAsia="ja-JP"/>
        </w:rPr>
        <w:instrText xml:space="preserve"> REF _Ref80784396 \h </w:instrText>
      </w:r>
      <w:r>
        <w:rPr>
          <w:lang w:eastAsia="ja-JP"/>
        </w:rPr>
      </w:r>
      <w:r>
        <w:rPr>
          <w:lang w:eastAsia="ja-JP"/>
        </w:rPr>
        <w:fldChar w:fldCharType="separate"/>
      </w:r>
      <w:r w:rsidR="00512556">
        <w:t xml:space="preserve">Figure </w:t>
      </w:r>
      <w:r w:rsidR="00512556">
        <w:rPr>
          <w:noProof/>
        </w:rPr>
        <w:t>2</w:t>
      </w:r>
      <w:r>
        <w:rPr>
          <w:lang w:eastAsia="ja-JP"/>
        </w:rPr>
        <w:fldChar w:fldCharType="end"/>
      </w:r>
      <w:r>
        <w:rPr>
          <w:lang w:eastAsia="ja-JP"/>
        </w:rPr>
        <w:t xml:space="preserve"> shows a service map of services in the Roseburg area.</w:t>
      </w:r>
    </w:p>
    <w:p w14:paraId="2D53EB2C" w14:textId="3FF1D22B" w:rsidR="00AE79AA" w:rsidRDefault="00AE79AA" w:rsidP="00AE79AA">
      <w:pPr>
        <w:pStyle w:val="Caption"/>
      </w:pPr>
      <w:bookmarkStart w:id="3" w:name="_Ref80784384"/>
      <w:r>
        <w:t xml:space="preserve">Figure </w:t>
      </w:r>
      <w:r w:rsidR="00E37ABF">
        <w:fldChar w:fldCharType="begin"/>
      </w:r>
      <w:r w:rsidR="00E37ABF">
        <w:instrText xml:space="preserve"> SEQ Figure \* ARABIC </w:instrText>
      </w:r>
      <w:r w:rsidR="00E37ABF">
        <w:fldChar w:fldCharType="separate"/>
      </w:r>
      <w:r w:rsidR="00512556">
        <w:rPr>
          <w:noProof/>
        </w:rPr>
        <w:t>1</w:t>
      </w:r>
      <w:r w:rsidR="00E37ABF">
        <w:rPr>
          <w:noProof/>
        </w:rPr>
        <w:fldChar w:fldCharType="end"/>
      </w:r>
      <w:bookmarkEnd w:id="3"/>
      <w:r>
        <w:t xml:space="preserve">: UPTD Douglas County Service </w:t>
      </w:r>
    </w:p>
    <w:p w14:paraId="0771CA88" w14:textId="77777777" w:rsidR="00AE79AA" w:rsidRDefault="00AE79AA" w:rsidP="00AE79AA">
      <w:pPr>
        <w:rPr>
          <w:lang w:eastAsia="ja-JP"/>
        </w:rPr>
      </w:pPr>
      <w:r>
        <w:rPr>
          <w:noProof/>
        </w:rPr>
        <w:drawing>
          <wp:inline distT="0" distB="0" distL="0" distR="0" wp14:anchorId="7B86BA9A" wp14:editId="7AB1ABFD">
            <wp:extent cx="6400800" cy="4585335"/>
            <wp:effectExtent l="0" t="0" r="0" b="5715"/>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202" t="4466" r="6034" b="11319"/>
                    <a:stretch/>
                  </pic:blipFill>
                  <pic:spPr bwMode="auto">
                    <a:xfrm>
                      <a:off x="0" y="0"/>
                      <a:ext cx="6400800" cy="4585335"/>
                    </a:xfrm>
                    <a:prstGeom prst="rect">
                      <a:avLst/>
                    </a:prstGeom>
                    <a:noFill/>
                    <a:ln>
                      <a:noFill/>
                    </a:ln>
                    <a:extLst>
                      <a:ext uri="{53640926-AAD7-44D8-BBD7-CCE9431645EC}">
                        <a14:shadowObscured xmlns:a14="http://schemas.microsoft.com/office/drawing/2010/main"/>
                      </a:ext>
                    </a:extLst>
                  </pic:spPr>
                </pic:pic>
              </a:graphicData>
            </a:graphic>
          </wp:inline>
        </w:drawing>
      </w:r>
    </w:p>
    <w:p w14:paraId="33738B30" w14:textId="6D374657" w:rsidR="00AE79AA" w:rsidRDefault="00AE79AA" w:rsidP="00AE79AA">
      <w:pPr>
        <w:pStyle w:val="Caption"/>
      </w:pPr>
      <w:bookmarkStart w:id="4" w:name="_Ref80784396"/>
      <w:r>
        <w:lastRenderedPageBreak/>
        <w:t xml:space="preserve">Figure </w:t>
      </w:r>
      <w:r w:rsidR="00E37ABF">
        <w:fldChar w:fldCharType="begin"/>
      </w:r>
      <w:r w:rsidR="00E37ABF">
        <w:instrText xml:space="preserve"> SEQ Figure \* ARABIC </w:instrText>
      </w:r>
      <w:r w:rsidR="00E37ABF">
        <w:fldChar w:fldCharType="separate"/>
      </w:r>
      <w:r w:rsidR="00512556">
        <w:rPr>
          <w:noProof/>
        </w:rPr>
        <w:t>2</w:t>
      </w:r>
      <w:r w:rsidR="00E37ABF">
        <w:rPr>
          <w:noProof/>
        </w:rPr>
        <w:fldChar w:fldCharType="end"/>
      </w:r>
      <w:bookmarkEnd w:id="4"/>
      <w:r>
        <w:t xml:space="preserve">. UPTD Roseburg Service </w:t>
      </w:r>
    </w:p>
    <w:p w14:paraId="72AF8AB9" w14:textId="77777777" w:rsidR="00AE79AA" w:rsidRPr="00A83F2B" w:rsidRDefault="00AE79AA" w:rsidP="00AE79AA">
      <w:pPr>
        <w:rPr>
          <w:lang w:eastAsia="ja-JP"/>
        </w:rPr>
      </w:pPr>
      <w:r>
        <w:rPr>
          <w:noProof/>
        </w:rPr>
        <w:drawing>
          <wp:inline distT="0" distB="0" distL="0" distR="0" wp14:anchorId="0D200778" wp14:editId="20CB3221">
            <wp:extent cx="6400800" cy="3847465"/>
            <wp:effectExtent l="0" t="0" r="0" b="635"/>
            <wp:docPr id="65" name="Picture 6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Map&#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0" cy="3847465"/>
                    </a:xfrm>
                    <a:prstGeom prst="rect">
                      <a:avLst/>
                    </a:prstGeom>
                    <a:noFill/>
                    <a:ln>
                      <a:noFill/>
                    </a:ln>
                  </pic:spPr>
                </pic:pic>
              </a:graphicData>
            </a:graphic>
          </wp:inline>
        </w:drawing>
      </w:r>
    </w:p>
    <w:p w14:paraId="5369D6B0" w14:textId="54E229FB" w:rsidR="00AE79AA" w:rsidRDefault="00AE79AA" w:rsidP="00AE79AA">
      <w:pPr>
        <w:pStyle w:val="Caption"/>
      </w:pPr>
      <w:bookmarkStart w:id="5" w:name="_Ref75531692"/>
      <w:r>
        <w:t xml:space="preserve">Table </w:t>
      </w:r>
      <w:r w:rsidR="00E37ABF">
        <w:fldChar w:fldCharType="begin"/>
      </w:r>
      <w:r w:rsidR="00E37ABF">
        <w:instrText xml:space="preserve"> SEQ Table \* ARABIC </w:instrText>
      </w:r>
      <w:r w:rsidR="00E37ABF">
        <w:fldChar w:fldCharType="separate"/>
      </w:r>
      <w:r w:rsidR="00512556">
        <w:rPr>
          <w:noProof/>
        </w:rPr>
        <w:t>1</w:t>
      </w:r>
      <w:r w:rsidR="00E37ABF">
        <w:rPr>
          <w:noProof/>
        </w:rPr>
        <w:fldChar w:fldCharType="end"/>
      </w:r>
      <w:bookmarkEnd w:id="5"/>
      <w:r>
        <w:rPr>
          <w:noProof/>
        </w:rPr>
        <w:t>.</w:t>
      </w:r>
      <w:r>
        <w:t xml:space="preserve"> Transportation Service Options for Traveling within Douglas County</w:t>
      </w:r>
    </w:p>
    <w:tbl>
      <w:tblPr>
        <w:tblStyle w:val="GridTable5Dark-Accent1"/>
        <w:tblW w:w="4919" w:type="pct"/>
        <w:tblLook w:val="04A0" w:firstRow="1" w:lastRow="0" w:firstColumn="1" w:lastColumn="0" w:noHBand="0" w:noVBand="1"/>
      </w:tblPr>
      <w:tblGrid>
        <w:gridCol w:w="1694"/>
        <w:gridCol w:w="911"/>
        <w:gridCol w:w="1536"/>
        <w:gridCol w:w="2792"/>
        <w:gridCol w:w="2974"/>
      </w:tblGrid>
      <w:tr w:rsidR="00AE79AA" w:rsidRPr="00BE7718" w14:paraId="32E07BC5" w14:textId="77777777" w:rsidTr="006D7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14:paraId="1E5E04F7" w14:textId="77777777" w:rsidR="00AE79AA" w:rsidRPr="00D129F2" w:rsidRDefault="00AE79AA" w:rsidP="006D7EDB">
            <w:pPr>
              <w:pStyle w:val="TableTextCenteredbold"/>
              <w:rPr>
                <w:b/>
                <w:bCs w:val="0"/>
              </w:rPr>
            </w:pPr>
            <w:r w:rsidRPr="00AB59AB">
              <w:t>Transportation Provider</w:t>
            </w:r>
          </w:p>
        </w:tc>
        <w:tc>
          <w:tcPr>
            <w:tcW w:w="460" w:type="pct"/>
          </w:tcPr>
          <w:p w14:paraId="17F14835" w14:textId="77777777" w:rsidR="00AE79AA" w:rsidRPr="00D129F2" w:rsidRDefault="00AE79AA" w:rsidP="006D7EDB">
            <w:pPr>
              <w:pStyle w:val="TableTextCenteredbold"/>
              <w:cnfStyle w:val="100000000000" w:firstRow="1" w:lastRow="0" w:firstColumn="0" w:lastColumn="0" w:oddVBand="0" w:evenVBand="0" w:oddHBand="0" w:evenHBand="0" w:firstRowFirstColumn="0" w:firstRowLastColumn="0" w:lastRowFirstColumn="0" w:lastRowLastColumn="0"/>
              <w:rPr>
                <w:b/>
                <w:bCs w:val="0"/>
              </w:rPr>
            </w:pPr>
            <w:r w:rsidRPr="00AB59AB">
              <w:t>Public / Private</w:t>
            </w:r>
          </w:p>
        </w:tc>
        <w:tc>
          <w:tcPr>
            <w:tcW w:w="775" w:type="pct"/>
          </w:tcPr>
          <w:p w14:paraId="1E6BCFE1" w14:textId="77777777" w:rsidR="00AE79AA" w:rsidRPr="00D129F2" w:rsidRDefault="00AE79AA" w:rsidP="006D7EDB">
            <w:pPr>
              <w:pStyle w:val="TableTextCenteredbold"/>
              <w:cnfStyle w:val="100000000000" w:firstRow="1" w:lastRow="0" w:firstColumn="0" w:lastColumn="0" w:oddVBand="0" w:evenVBand="0" w:oddHBand="0" w:evenHBand="0" w:firstRowFirstColumn="0" w:firstRowLastColumn="0" w:lastRowFirstColumn="0" w:lastRowLastColumn="0"/>
              <w:rPr>
                <w:b/>
                <w:bCs w:val="0"/>
              </w:rPr>
            </w:pPr>
            <w:r w:rsidRPr="00AB59AB">
              <w:t>Service Type</w:t>
            </w:r>
          </w:p>
        </w:tc>
        <w:tc>
          <w:tcPr>
            <w:tcW w:w="1409" w:type="pct"/>
          </w:tcPr>
          <w:p w14:paraId="2912AE2D" w14:textId="77777777" w:rsidR="00AE79AA" w:rsidRPr="00D129F2" w:rsidRDefault="00AE79AA" w:rsidP="006D7EDB">
            <w:pPr>
              <w:pStyle w:val="TableTextCenteredbold"/>
              <w:cnfStyle w:val="100000000000" w:firstRow="1" w:lastRow="0" w:firstColumn="0" w:lastColumn="0" w:oddVBand="0" w:evenVBand="0" w:oddHBand="0" w:evenHBand="0" w:firstRowFirstColumn="0" w:firstRowLastColumn="0" w:lastRowFirstColumn="0" w:lastRowLastColumn="0"/>
              <w:rPr>
                <w:b/>
                <w:bCs w:val="0"/>
              </w:rPr>
            </w:pPr>
            <w:r w:rsidRPr="00AB59AB">
              <w:t>Operating Hours</w:t>
            </w:r>
          </w:p>
        </w:tc>
        <w:tc>
          <w:tcPr>
            <w:tcW w:w="1501" w:type="pct"/>
          </w:tcPr>
          <w:p w14:paraId="4CB0BA1B" w14:textId="77777777" w:rsidR="00AE79AA" w:rsidRPr="00D129F2" w:rsidRDefault="00AE79AA" w:rsidP="006D7EDB">
            <w:pPr>
              <w:pStyle w:val="TableTextCenteredbold"/>
              <w:cnfStyle w:val="100000000000" w:firstRow="1" w:lastRow="0" w:firstColumn="0" w:lastColumn="0" w:oddVBand="0" w:evenVBand="0" w:oddHBand="0" w:evenHBand="0" w:firstRowFirstColumn="0" w:firstRowLastColumn="0" w:lastRowFirstColumn="0" w:lastRowLastColumn="0"/>
              <w:rPr>
                <w:b/>
                <w:bCs w:val="0"/>
              </w:rPr>
            </w:pPr>
            <w:r w:rsidRPr="00AB59AB">
              <w:t>Service Area</w:t>
            </w:r>
          </w:p>
        </w:tc>
      </w:tr>
      <w:tr w:rsidR="00AE79AA" w14:paraId="54A45ECB" w14:textId="77777777" w:rsidTr="006D7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shd w:val="clear" w:color="auto" w:fill="8FB3E3" w:themeFill="accent1" w:themeFillTint="66"/>
          </w:tcPr>
          <w:p w14:paraId="68F905DD" w14:textId="77777777" w:rsidR="00AE79AA" w:rsidRPr="002C0F9E" w:rsidRDefault="00AE79AA" w:rsidP="006D7EDB">
            <w:pPr>
              <w:pStyle w:val="TableTextCenteredbold"/>
              <w:rPr>
                <w:b/>
                <w:bCs w:val="0"/>
                <w:color w:val="auto"/>
              </w:rPr>
            </w:pPr>
            <w:r w:rsidRPr="002C0F9E">
              <w:rPr>
                <w:b/>
                <w:bCs w:val="0"/>
                <w:color w:val="auto"/>
              </w:rPr>
              <w:t>UTrans (UPTD)</w:t>
            </w:r>
          </w:p>
        </w:tc>
        <w:tc>
          <w:tcPr>
            <w:tcW w:w="460" w:type="pct"/>
          </w:tcPr>
          <w:p w14:paraId="3462CC33"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Public</w:t>
            </w:r>
          </w:p>
        </w:tc>
        <w:tc>
          <w:tcPr>
            <w:tcW w:w="775" w:type="pct"/>
          </w:tcPr>
          <w:p w14:paraId="4D407CFE"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Fixed-Route</w:t>
            </w:r>
          </w:p>
        </w:tc>
        <w:tc>
          <w:tcPr>
            <w:tcW w:w="1409" w:type="pct"/>
          </w:tcPr>
          <w:p w14:paraId="3E080C84"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6:30 AM – 7:30 PM weekdays</w:t>
            </w:r>
          </w:p>
          <w:p w14:paraId="55D5018A"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8:15 AM – 6:30 PM Saturday</w:t>
            </w:r>
          </w:p>
        </w:tc>
        <w:tc>
          <w:tcPr>
            <w:tcW w:w="1501" w:type="pct"/>
          </w:tcPr>
          <w:p w14:paraId="67A8DFF3"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Douglas County</w:t>
            </w:r>
          </w:p>
        </w:tc>
      </w:tr>
      <w:tr w:rsidR="00AE79AA" w14:paraId="6FFC2275" w14:textId="77777777" w:rsidTr="006D7EDB">
        <w:tc>
          <w:tcPr>
            <w:cnfStyle w:val="001000000000" w:firstRow="0" w:lastRow="0" w:firstColumn="1" w:lastColumn="0" w:oddVBand="0" w:evenVBand="0" w:oddHBand="0" w:evenHBand="0" w:firstRowFirstColumn="0" w:firstRowLastColumn="0" w:lastRowFirstColumn="0" w:lastRowLastColumn="0"/>
            <w:tcW w:w="855" w:type="pct"/>
            <w:shd w:val="clear" w:color="auto" w:fill="C7D9F1" w:themeFill="accent1" w:themeFillTint="33"/>
          </w:tcPr>
          <w:p w14:paraId="40D572B4" w14:textId="77777777" w:rsidR="00AE79AA" w:rsidRPr="002C0F9E" w:rsidRDefault="00AE79AA" w:rsidP="006D7EDB">
            <w:pPr>
              <w:pStyle w:val="TableTextCenteredblack"/>
              <w:rPr>
                <w:b w:val="0"/>
                <w:bCs w:val="0"/>
                <w:color w:val="auto"/>
              </w:rPr>
            </w:pPr>
            <w:r w:rsidRPr="002C0F9E">
              <w:rPr>
                <w:bCs w:val="0"/>
                <w:color w:val="auto"/>
              </w:rPr>
              <w:t>UTrans Direct (</w:t>
            </w:r>
            <w:r w:rsidRPr="00FE2841">
              <w:rPr>
                <w:bCs w:val="0"/>
                <w:color w:val="auto"/>
              </w:rPr>
              <w:t>UPTD</w:t>
            </w:r>
            <w:r w:rsidRPr="002C0F9E">
              <w:rPr>
                <w:bCs w:val="0"/>
                <w:color w:val="auto"/>
              </w:rPr>
              <w:t>)</w:t>
            </w:r>
          </w:p>
        </w:tc>
        <w:tc>
          <w:tcPr>
            <w:tcW w:w="460" w:type="pct"/>
          </w:tcPr>
          <w:p w14:paraId="579E3EE1"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Public</w:t>
            </w:r>
          </w:p>
        </w:tc>
        <w:tc>
          <w:tcPr>
            <w:tcW w:w="775" w:type="pct"/>
          </w:tcPr>
          <w:p w14:paraId="6CDF0F42"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Paratransit</w:t>
            </w:r>
          </w:p>
        </w:tc>
        <w:tc>
          <w:tcPr>
            <w:tcW w:w="1409" w:type="pct"/>
          </w:tcPr>
          <w:p w14:paraId="445948CB"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6:15 AM – 8 PM weekdays</w:t>
            </w:r>
          </w:p>
        </w:tc>
        <w:tc>
          <w:tcPr>
            <w:tcW w:w="1501" w:type="pct"/>
          </w:tcPr>
          <w:p w14:paraId="304A6A4A" w14:textId="77777777" w:rsidR="00AE79AA"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City of Roseburg</w:t>
            </w:r>
          </w:p>
          <w:p w14:paraId="31DC6ADB"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Within ¾ air mile of UTrans fixed-route service</w:t>
            </w:r>
          </w:p>
        </w:tc>
      </w:tr>
      <w:tr w:rsidR="00AE79AA" w14:paraId="2C7EC0A8" w14:textId="77777777" w:rsidTr="006D7EDB">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55" w:type="pct"/>
            <w:shd w:val="clear" w:color="auto" w:fill="8FB3E3" w:themeFill="accent1" w:themeFillTint="66"/>
          </w:tcPr>
          <w:p w14:paraId="36C2C69C" w14:textId="77777777" w:rsidR="00AE79AA" w:rsidRPr="002C0F9E" w:rsidRDefault="00AE79AA" w:rsidP="006D7EDB">
            <w:pPr>
              <w:pStyle w:val="TableTextCenteredbold"/>
              <w:rPr>
                <w:b/>
                <w:bCs w:val="0"/>
                <w:color w:val="auto"/>
              </w:rPr>
            </w:pPr>
            <w:r>
              <w:rPr>
                <w:b/>
                <w:bCs w:val="0"/>
                <w:color w:val="auto"/>
              </w:rPr>
              <w:t>Umpqua</w:t>
            </w:r>
            <w:r w:rsidRPr="002C0F9E">
              <w:rPr>
                <w:b/>
                <w:bCs w:val="0"/>
                <w:color w:val="auto"/>
              </w:rPr>
              <w:t xml:space="preserve"> Rides (UPTD)</w:t>
            </w:r>
          </w:p>
        </w:tc>
        <w:tc>
          <w:tcPr>
            <w:tcW w:w="460" w:type="pct"/>
          </w:tcPr>
          <w:p w14:paraId="694A1BEC"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Public</w:t>
            </w:r>
          </w:p>
        </w:tc>
        <w:tc>
          <w:tcPr>
            <w:tcW w:w="775" w:type="pct"/>
          </w:tcPr>
          <w:p w14:paraId="5B1E10FD"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Demand-Response</w:t>
            </w:r>
          </w:p>
        </w:tc>
        <w:tc>
          <w:tcPr>
            <w:tcW w:w="1409" w:type="pct"/>
          </w:tcPr>
          <w:p w14:paraId="2B7E9519"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8:30 AM – 4:45 PM weekdays</w:t>
            </w:r>
          </w:p>
        </w:tc>
        <w:tc>
          <w:tcPr>
            <w:tcW w:w="1501" w:type="pct"/>
          </w:tcPr>
          <w:p w14:paraId="322ABC18" w14:textId="77777777" w:rsidR="00AE79AA" w:rsidRPr="00AB70D1"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Douglas County</w:t>
            </w:r>
          </w:p>
        </w:tc>
      </w:tr>
      <w:tr w:rsidR="00AE79AA" w14:paraId="6997D888" w14:textId="77777777" w:rsidTr="006D7EDB">
        <w:trPr>
          <w:trHeight w:val="210"/>
        </w:trPr>
        <w:tc>
          <w:tcPr>
            <w:cnfStyle w:val="001000000000" w:firstRow="0" w:lastRow="0" w:firstColumn="1" w:lastColumn="0" w:oddVBand="0" w:evenVBand="0" w:oddHBand="0" w:evenHBand="0" w:firstRowFirstColumn="0" w:firstRowLastColumn="0" w:lastRowFirstColumn="0" w:lastRowLastColumn="0"/>
            <w:tcW w:w="855" w:type="pct"/>
            <w:shd w:val="clear" w:color="auto" w:fill="C7D9F1" w:themeFill="accent1" w:themeFillTint="33"/>
          </w:tcPr>
          <w:p w14:paraId="15B1C201" w14:textId="77777777" w:rsidR="00AE79AA" w:rsidRPr="002C0F9E" w:rsidRDefault="00AE79AA" w:rsidP="006D7EDB">
            <w:pPr>
              <w:pStyle w:val="TableTextCenteredbold"/>
              <w:rPr>
                <w:b/>
                <w:bCs w:val="0"/>
                <w:color w:val="auto"/>
              </w:rPr>
            </w:pPr>
            <w:r w:rsidRPr="002C0F9E">
              <w:rPr>
                <w:b/>
                <w:bCs w:val="0"/>
                <w:color w:val="auto"/>
              </w:rPr>
              <w:t>South Lane Wheels</w:t>
            </w:r>
          </w:p>
        </w:tc>
        <w:tc>
          <w:tcPr>
            <w:tcW w:w="460" w:type="pct"/>
          </w:tcPr>
          <w:p w14:paraId="5F6C5317"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Public</w:t>
            </w:r>
          </w:p>
        </w:tc>
        <w:tc>
          <w:tcPr>
            <w:tcW w:w="775" w:type="pct"/>
          </w:tcPr>
          <w:p w14:paraId="59BC7212"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Deviated Fixed-Route</w:t>
            </w:r>
          </w:p>
        </w:tc>
        <w:tc>
          <w:tcPr>
            <w:tcW w:w="1409" w:type="pct"/>
          </w:tcPr>
          <w:p w14:paraId="2D70F8C7"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 xml:space="preserve">2 round trips, </w:t>
            </w:r>
            <w:r>
              <w:br/>
              <w:t>Tuesdays and Thursdays</w:t>
            </w:r>
          </w:p>
        </w:tc>
        <w:tc>
          <w:tcPr>
            <w:tcW w:w="1501" w:type="pct"/>
          </w:tcPr>
          <w:p w14:paraId="6204B4C5"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Lane – Douglas Connector (Roseburg to Eugene)</w:t>
            </w:r>
          </w:p>
        </w:tc>
      </w:tr>
      <w:tr w:rsidR="00AE79AA" w14:paraId="6385C72C" w14:textId="77777777" w:rsidTr="006D7ED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55" w:type="pct"/>
            <w:vMerge w:val="restart"/>
            <w:shd w:val="clear" w:color="auto" w:fill="8FB3E3" w:themeFill="accent1" w:themeFillTint="66"/>
          </w:tcPr>
          <w:p w14:paraId="015AD9FD" w14:textId="77777777" w:rsidR="00AE79AA" w:rsidRPr="002C0F9E" w:rsidRDefault="00AE79AA" w:rsidP="006D7EDB">
            <w:pPr>
              <w:pStyle w:val="TableTextCenteredbold"/>
              <w:rPr>
                <w:b/>
                <w:bCs w:val="0"/>
                <w:color w:val="auto"/>
              </w:rPr>
            </w:pPr>
            <w:r w:rsidRPr="002C0F9E">
              <w:rPr>
                <w:b/>
                <w:bCs w:val="0"/>
                <w:color w:val="auto"/>
              </w:rPr>
              <w:t>Coos County Area Transit (CCAT)</w:t>
            </w:r>
          </w:p>
        </w:tc>
        <w:tc>
          <w:tcPr>
            <w:tcW w:w="460" w:type="pct"/>
            <w:vMerge w:val="restart"/>
          </w:tcPr>
          <w:p w14:paraId="156966B3"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Public</w:t>
            </w:r>
          </w:p>
        </w:tc>
        <w:tc>
          <w:tcPr>
            <w:tcW w:w="775" w:type="pct"/>
            <w:vMerge w:val="restart"/>
          </w:tcPr>
          <w:p w14:paraId="0795A5D1"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Fixed-Route</w:t>
            </w:r>
          </w:p>
        </w:tc>
        <w:tc>
          <w:tcPr>
            <w:tcW w:w="1409" w:type="pct"/>
          </w:tcPr>
          <w:p w14:paraId="1306F82A"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1 round trip,</w:t>
            </w:r>
            <w:r>
              <w:br/>
              <w:t>Tuesdays and Wednesdays</w:t>
            </w:r>
          </w:p>
        </w:tc>
        <w:tc>
          <w:tcPr>
            <w:tcW w:w="1501" w:type="pct"/>
          </w:tcPr>
          <w:p w14:paraId="0D6B2C0E"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Coos Bay to Roseburg</w:t>
            </w:r>
          </w:p>
        </w:tc>
      </w:tr>
      <w:tr w:rsidR="00AE79AA" w14:paraId="21584FC5" w14:textId="77777777" w:rsidTr="006D7EDB">
        <w:trPr>
          <w:trHeight w:val="447"/>
        </w:trPr>
        <w:tc>
          <w:tcPr>
            <w:cnfStyle w:val="001000000000" w:firstRow="0" w:lastRow="0" w:firstColumn="1" w:lastColumn="0" w:oddVBand="0" w:evenVBand="0" w:oddHBand="0" w:evenHBand="0" w:firstRowFirstColumn="0" w:firstRowLastColumn="0" w:lastRowFirstColumn="0" w:lastRowLastColumn="0"/>
            <w:tcW w:w="855" w:type="pct"/>
            <w:vMerge/>
            <w:shd w:val="clear" w:color="auto" w:fill="8FB3E3" w:themeFill="accent1" w:themeFillTint="66"/>
          </w:tcPr>
          <w:p w14:paraId="1E36E061" w14:textId="77777777" w:rsidR="00AE79AA" w:rsidRPr="002C0F9E" w:rsidRDefault="00AE79AA" w:rsidP="006D7EDB">
            <w:pPr>
              <w:pStyle w:val="TableTextCenteredbold"/>
              <w:rPr>
                <w:color w:val="auto"/>
              </w:rPr>
            </w:pPr>
          </w:p>
        </w:tc>
        <w:tc>
          <w:tcPr>
            <w:tcW w:w="460" w:type="pct"/>
            <w:vMerge/>
            <w:shd w:val="clear" w:color="auto" w:fill="8FB3E3" w:themeFill="accent1" w:themeFillTint="66"/>
          </w:tcPr>
          <w:p w14:paraId="3A4AAEEC" w14:textId="77777777" w:rsidR="00AE79AA"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p>
        </w:tc>
        <w:tc>
          <w:tcPr>
            <w:tcW w:w="775" w:type="pct"/>
            <w:vMerge/>
            <w:shd w:val="clear" w:color="auto" w:fill="8FB3E3" w:themeFill="accent1" w:themeFillTint="66"/>
          </w:tcPr>
          <w:p w14:paraId="5E256AB9" w14:textId="77777777" w:rsidR="00AE79AA"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p>
        </w:tc>
        <w:tc>
          <w:tcPr>
            <w:tcW w:w="1409" w:type="pct"/>
            <w:shd w:val="clear" w:color="auto" w:fill="8FB3E3" w:themeFill="accent1" w:themeFillTint="66"/>
          </w:tcPr>
          <w:p w14:paraId="5C7C36FD" w14:textId="77777777" w:rsidR="00AE79AA"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3 round trips, Mondays, Tuesdays, Thursdays, Fridays</w:t>
            </w:r>
          </w:p>
        </w:tc>
        <w:tc>
          <w:tcPr>
            <w:tcW w:w="1501" w:type="pct"/>
            <w:shd w:val="clear" w:color="auto" w:fill="8FB3E3" w:themeFill="accent1" w:themeFillTint="66"/>
          </w:tcPr>
          <w:p w14:paraId="24566473" w14:textId="77777777" w:rsidR="00AE79AA"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Coos Bay to Florence, with stop in Reedsport</w:t>
            </w:r>
          </w:p>
        </w:tc>
      </w:tr>
      <w:tr w:rsidR="00AE79AA" w14:paraId="53A88EE5" w14:textId="77777777" w:rsidTr="006D7EDB">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55" w:type="pct"/>
            <w:shd w:val="clear" w:color="auto" w:fill="C7D9F1" w:themeFill="accent1" w:themeFillTint="33"/>
          </w:tcPr>
          <w:p w14:paraId="53F8F0B0" w14:textId="77777777" w:rsidR="00AE79AA" w:rsidRPr="002C0F9E" w:rsidRDefault="00AE79AA" w:rsidP="006D7EDB">
            <w:pPr>
              <w:pStyle w:val="TableTextCenteredbold"/>
              <w:rPr>
                <w:b/>
                <w:bCs w:val="0"/>
                <w:color w:val="auto"/>
              </w:rPr>
            </w:pPr>
            <w:r w:rsidRPr="002C0F9E">
              <w:rPr>
                <w:b/>
                <w:bCs w:val="0"/>
                <w:color w:val="auto"/>
              </w:rPr>
              <w:t>Greyhound</w:t>
            </w:r>
          </w:p>
        </w:tc>
        <w:tc>
          <w:tcPr>
            <w:tcW w:w="460" w:type="pct"/>
            <w:shd w:val="clear" w:color="auto" w:fill="C7D9F1" w:themeFill="accent1" w:themeFillTint="33"/>
          </w:tcPr>
          <w:p w14:paraId="10366BA7"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Private</w:t>
            </w:r>
          </w:p>
        </w:tc>
        <w:tc>
          <w:tcPr>
            <w:tcW w:w="775" w:type="pct"/>
            <w:shd w:val="clear" w:color="auto" w:fill="C7D9F1" w:themeFill="accent1" w:themeFillTint="33"/>
          </w:tcPr>
          <w:p w14:paraId="12CCA5BC"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Fixed-Route</w:t>
            </w:r>
          </w:p>
        </w:tc>
        <w:tc>
          <w:tcPr>
            <w:tcW w:w="1409" w:type="pct"/>
            <w:shd w:val="clear" w:color="auto" w:fill="C7D9F1" w:themeFill="accent1" w:themeFillTint="33"/>
          </w:tcPr>
          <w:p w14:paraId="4FFEDC63"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2 trips per direction</w:t>
            </w:r>
          </w:p>
          <w:p w14:paraId="7F59998D"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6:30 AM – 11:30 PM</w:t>
            </w:r>
            <w:r>
              <w:br/>
              <w:t>7 days a week</w:t>
            </w:r>
          </w:p>
        </w:tc>
        <w:tc>
          <w:tcPr>
            <w:tcW w:w="1501" w:type="pct"/>
            <w:shd w:val="clear" w:color="auto" w:fill="C7D9F1" w:themeFill="accent1" w:themeFillTint="33"/>
          </w:tcPr>
          <w:p w14:paraId="2B64C364" w14:textId="77777777" w:rsidR="00AE79AA" w:rsidRDefault="00AE79AA" w:rsidP="006D7EDB">
            <w:pPr>
              <w:pStyle w:val="TableTextCenteredblack"/>
              <w:cnfStyle w:val="000000100000" w:firstRow="0" w:lastRow="0" w:firstColumn="0" w:lastColumn="0" w:oddVBand="0" w:evenVBand="0" w:oddHBand="1" w:evenHBand="0" w:firstRowFirstColumn="0" w:firstRowLastColumn="0" w:lastRowFirstColumn="0" w:lastRowLastColumn="0"/>
            </w:pPr>
            <w:r>
              <w:t xml:space="preserve">I-5 corridor, stopping in Roseburg </w:t>
            </w:r>
          </w:p>
        </w:tc>
      </w:tr>
      <w:tr w:rsidR="00AE79AA" w14:paraId="47F9C200" w14:textId="77777777" w:rsidTr="006D7EDB">
        <w:trPr>
          <w:trHeight w:val="60"/>
        </w:trPr>
        <w:tc>
          <w:tcPr>
            <w:cnfStyle w:val="001000000000" w:firstRow="0" w:lastRow="0" w:firstColumn="1" w:lastColumn="0" w:oddVBand="0" w:evenVBand="0" w:oddHBand="0" w:evenHBand="0" w:firstRowFirstColumn="0" w:firstRowLastColumn="0" w:lastRowFirstColumn="0" w:lastRowLastColumn="0"/>
            <w:tcW w:w="855" w:type="pct"/>
            <w:shd w:val="clear" w:color="auto" w:fill="8FB3E3" w:themeFill="accent1" w:themeFillTint="66"/>
          </w:tcPr>
          <w:p w14:paraId="047ED08B" w14:textId="77777777" w:rsidR="00AE79AA" w:rsidRPr="002C0F9E" w:rsidRDefault="00AE79AA" w:rsidP="006D7EDB">
            <w:pPr>
              <w:pStyle w:val="TableTextCenteredbold"/>
              <w:rPr>
                <w:b/>
                <w:bCs w:val="0"/>
                <w:color w:val="auto"/>
              </w:rPr>
            </w:pPr>
            <w:r w:rsidRPr="002C0F9E">
              <w:rPr>
                <w:b/>
                <w:bCs w:val="0"/>
                <w:color w:val="auto"/>
              </w:rPr>
              <w:t>DC Sunshine Taxi &amp; Courier</w:t>
            </w:r>
          </w:p>
        </w:tc>
        <w:tc>
          <w:tcPr>
            <w:tcW w:w="460" w:type="pct"/>
            <w:shd w:val="clear" w:color="auto" w:fill="8FB3E3" w:themeFill="accent1" w:themeFillTint="66"/>
          </w:tcPr>
          <w:p w14:paraId="101326D0"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Private</w:t>
            </w:r>
          </w:p>
        </w:tc>
        <w:tc>
          <w:tcPr>
            <w:tcW w:w="775" w:type="pct"/>
            <w:shd w:val="clear" w:color="auto" w:fill="8FB3E3" w:themeFill="accent1" w:themeFillTint="66"/>
          </w:tcPr>
          <w:p w14:paraId="49C4A386"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Taxi: Demand-Response</w:t>
            </w:r>
          </w:p>
        </w:tc>
        <w:tc>
          <w:tcPr>
            <w:tcW w:w="1409" w:type="pct"/>
            <w:shd w:val="clear" w:color="auto" w:fill="8FB3E3" w:themeFill="accent1" w:themeFillTint="66"/>
          </w:tcPr>
          <w:p w14:paraId="17C21ABB" w14:textId="77777777" w:rsidR="00AE79AA"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24/7</w:t>
            </w:r>
          </w:p>
          <w:p w14:paraId="0C88439D"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7 days a week</w:t>
            </w:r>
          </w:p>
        </w:tc>
        <w:tc>
          <w:tcPr>
            <w:tcW w:w="1501" w:type="pct"/>
            <w:shd w:val="clear" w:color="auto" w:fill="8FB3E3" w:themeFill="accent1" w:themeFillTint="66"/>
          </w:tcPr>
          <w:p w14:paraId="6296A30B" w14:textId="77777777" w:rsidR="00AE79AA" w:rsidRPr="00AB70D1" w:rsidRDefault="00AE79AA" w:rsidP="006D7EDB">
            <w:pPr>
              <w:pStyle w:val="TableTextCenteredblack"/>
              <w:cnfStyle w:val="000000000000" w:firstRow="0" w:lastRow="0" w:firstColumn="0" w:lastColumn="0" w:oddVBand="0" w:evenVBand="0" w:oddHBand="0" w:evenHBand="0" w:firstRowFirstColumn="0" w:firstRowLastColumn="0" w:lastRowFirstColumn="0" w:lastRowLastColumn="0"/>
            </w:pPr>
            <w:r>
              <w:t>Greater Roseburg area</w:t>
            </w:r>
          </w:p>
        </w:tc>
      </w:tr>
    </w:tbl>
    <w:p w14:paraId="53944E25" w14:textId="50BA5566" w:rsidR="00AE79AA" w:rsidRDefault="00AE79AA" w:rsidP="00AE79AA">
      <w:pPr>
        <w:pStyle w:val="tablenote"/>
      </w:pPr>
      <w:r>
        <w:t>Sources: Umpqua Public Transportation District, South Lane Wheels, DC Sunshine Taxi &amp; Courier</w:t>
      </w:r>
    </w:p>
    <w:p w14:paraId="0127C6DB" w14:textId="77777777" w:rsidR="00512556" w:rsidRDefault="00512556" w:rsidP="00512556">
      <w:pPr>
        <w:pStyle w:val="Heading2"/>
        <w:rPr>
          <w:lang w:eastAsia="ja-JP"/>
        </w:rPr>
      </w:pPr>
      <w:bookmarkStart w:id="6" w:name="_Toc80883092"/>
      <w:r>
        <w:rPr>
          <w:lang w:eastAsia="ja-JP"/>
        </w:rPr>
        <w:lastRenderedPageBreak/>
        <w:t>Ridership Trends</w:t>
      </w:r>
      <w:bookmarkEnd w:id="6"/>
    </w:p>
    <w:p w14:paraId="6E047A99" w14:textId="6825C4FD" w:rsidR="00512556" w:rsidRDefault="00512556" w:rsidP="00512556">
      <w:pPr>
        <w:rPr>
          <w:lang w:eastAsia="ja-JP"/>
        </w:rPr>
      </w:pPr>
      <w:r>
        <w:rPr>
          <w:lang w:eastAsia="ja-JP"/>
        </w:rPr>
        <w:fldChar w:fldCharType="begin"/>
      </w:r>
      <w:r>
        <w:rPr>
          <w:lang w:eastAsia="ja-JP"/>
        </w:rPr>
        <w:instrText xml:space="preserve"> REF _Ref76993190 \h </w:instrText>
      </w:r>
      <w:r>
        <w:rPr>
          <w:lang w:eastAsia="ja-JP"/>
        </w:rPr>
      </w:r>
      <w:r>
        <w:rPr>
          <w:lang w:eastAsia="ja-JP"/>
        </w:rPr>
        <w:fldChar w:fldCharType="separate"/>
      </w:r>
      <w:r>
        <w:t xml:space="preserve">Figure </w:t>
      </w:r>
      <w:r>
        <w:rPr>
          <w:noProof/>
        </w:rPr>
        <w:t>3</w:t>
      </w:r>
      <w:r>
        <w:rPr>
          <w:lang w:eastAsia="ja-JP"/>
        </w:rPr>
        <w:fldChar w:fldCharType="end"/>
      </w:r>
      <w:r>
        <w:rPr>
          <w:lang w:eastAsia="ja-JP"/>
        </w:rPr>
        <w:t xml:space="preserve"> shows the average number of rides per hour and the total annual ridership between 2013 to 2019 across all services (fixed-route and demand response). During this </w:t>
      </w:r>
      <w:proofErr w:type="gramStart"/>
      <w:r>
        <w:rPr>
          <w:lang w:eastAsia="ja-JP"/>
        </w:rPr>
        <w:t>time period</w:t>
      </w:r>
      <w:proofErr w:type="gramEnd"/>
      <w:r>
        <w:rPr>
          <w:lang w:eastAsia="ja-JP"/>
        </w:rPr>
        <w:t xml:space="preserve">, UPTD served an average of 4.5 rides per hour and provided 169,463 rides annually. UPTD provided approximately 5.5 rides per hour on its fixed-route services and 99,000 annual rides in 2019. The downward ridership trend since 2014/2015 is consistent with national transit ridership trends. </w:t>
      </w:r>
    </w:p>
    <w:p w14:paraId="3CE044E2" w14:textId="063957A3" w:rsidR="00512556" w:rsidRDefault="00512556" w:rsidP="00512556">
      <w:pPr>
        <w:pStyle w:val="Caption"/>
      </w:pPr>
      <w:bookmarkStart w:id="7" w:name="_Ref76993190"/>
      <w:r>
        <w:t xml:space="preserve">Figure </w:t>
      </w:r>
      <w:r w:rsidR="00E37ABF">
        <w:fldChar w:fldCharType="begin"/>
      </w:r>
      <w:r w:rsidR="00E37ABF">
        <w:instrText xml:space="preserve"> SEQ Figure \* ARABIC </w:instrText>
      </w:r>
      <w:r w:rsidR="00E37ABF">
        <w:fldChar w:fldCharType="separate"/>
      </w:r>
      <w:r>
        <w:rPr>
          <w:noProof/>
        </w:rPr>
        <w:t>3</w:t>
      </w:r>
      <w:r w:rsidR="00E37ABF">
        <w:rPr>
          <w:noProof/>
        </w:rPr>
        <w:fldChar w:fldCharType="end"/>
      </w:r>
      <w:bookmarkEnd w:id="7"/>
      <w:r>
        <w:rPr>
          <w:noProof/>
        </w:rPr>
        <w:t>.</w:t>
      </w:r>
      <w:r>
        <w:t xml:space="preserve"> UPTD Average Rides per Hour </w:t>
      </w:r>
    </w:p>
    <w:p w14:paraId="02BF5684" w14:textId="77777777" w:rsidR="00512556" w:rsidRDefault="00512556" w:rsidP="00512556">
      <w:pPr>
        <w:pStyle w:val="FigureCaption"/>
      </w:pPr>
      <w:r>
        <w:drawing>
          <wp:inline distT="0" distB="0" distL="0" distR="0" wp14:anchorId="26CBA2B8" wp14:editId="24E95092">
            <wp:extent cx="6400800" cy="1570008"/>
            <wp:effectExtent l="0" t="0" r="0" b="11430"/>
            <wp:docPr id="3" name="Chart 3">
              <a:extLst xmlns:a="http://schemas.openxmlformats.org/drawingml/2006/main">
                <a:ext uri="{FF2B5EF4-FFF2-40B4-BE49-F238E27FC236}">
                  <a16:creationId xmlns:a16="http://schemas.microsoft.com/office/drawing/2014/main" id="{94F80900-F322-484A-8D6D-B6D2FC7758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66B337" w14:textId="77777777" w:rsidR="00512556" w:rsidRDefault="00512556" w:rsidP="00512556">
      <w:pPr>
        <w:pStyle w:val="FigureCaption"/>
      </w:pPr>
      <w:r>
        <w:t xml:space="preserve">Source: </w:t>
      </w:r>
      <w:r w:rsidRPr="008D59A4">
        <w:t>NTD</w:t>
      </w:r>
    </w:p>
    <w:p w14:paraId="5BF5ED5E" w14:textId="03B619D5" w:rsidR="00512556" w:rsidRDefault="00512556" w:rsidP="00512556">
      <w:pPr>
        <w:rPr>
          <w:lang w:eastAsia="ja-JP"/>
        </w:rPr>
      </w:pPr>
      <w:r>
        <w:rPr>
          <w:lang w:eastAsia="ja-JP"/>
        </w:rPr>
        <w:fldChar w:fldCharType="begin"/>
      </w:r>
      <w:r>
        <w:rPr>
          <w:lang w:eastAsia="ja-JP"/>
        </w:rPr>
        <w:instrText xml:space="preserve"> REF _Ref80784605 \h </w:instrText>
      </w:r>
      <w:r>
        <w:rPr>
          <w:lang w:eastAsia="ja-JP"/>
        </w:rPr>
      </w:r>
      <w:r>
        <w:rPr>
          <w:lang w:eastAsia="ja-JP"/>
        </w:rPr>
        <w:fldChar w:fldCharType="separate"/>
      </w:r>
      <w:r>
        <w:t xml:space="preserve">Figure </w:t>
      </w:r>
      <w:r>
        <w:rPr>
          <w:noProof/>
        </w:rPr>
        <w:t>4</w:t>
      </w:r>
      <w:r>
        <w:rPr>
          <w:lang w:eastAsia="ja-JP"/>
        </w:rPr>
        <w:fldChar w:fldCharType="end"/>
      </w:r>
      <w:r>
        <w:rPr>
          <w:lang w:eastAsia="ja-JP"/>
        </w:rPr>
        <w:t xml:space="preserve"> shows the total ridership by month between 2016 to 2021. As shown, ridership is typically highest in October, with other ridership peaks in the spring and summer. The decline in ridership starting in March 2020 is attributable to the COVID-19 pandemic and stay-at-home orders. </w:t>
      </w:r>
    </w:p>
    <w:p w14:paraId="04A01C51" w14:textId="006DAC43" w:rsidR="00512556" w:rsidRDefault="00512556" w:rsidP="00512556">
      <w:pPr>
        <w:pStyle w:val="Caption"/>
      </w:pPr>
      <w:bookmarkStart w:id="8" w:name="_Ref80784605"/>
      <w:r>
        <w:t xml:space="preserve">Figure </w:t>
      </w:r>
      <w:r w:rsidR="00E37ABF">
        <w:fldChar w:fldCharType="begin"/>
      </w:r>
      <w:r w:rsidR="00E37ABF">
        <w:instrText xml:space="preserve"> SEQ Figure \* ARABIC </w:instrText>
      </w:r>
      <w:r w:rsidR="00E37ABF">
        <w:fldChar w:fldCharType="separate"/>
      </w:r>
      <w:r>
        <w:rPr>
          <w:noProof/>
        </w:rPr>
        <w:t>4</w:t>
      </w:r>
      <w:r w:rsidR="00E37ABF">
        <w:rPr>
          <w:noProof/>
        </w:rPr>
        <w:fldChar w:fldCharType="end"/>
      </w:r>
      <w:bookmarkEnd w:id="8"/>
      <w:r>
        <w:t xml:space="preserve">. </w:t>
      </w:r>
      <w:r w:rsidRPr="00FE383D">
        <w:t xml:space="preserve">UPTD </w:t>
      </w:r>
      <w:r w:rsidRPr="00CA192E">
        <w:t>Monthly</w:t>
      </w:r>
      <w:r w:rsidRPr="00FE383D">
        <w:t xml:space="preserve"> </w:t>
      </w:r>
      <w:r>
        <w:t>Rides</w:t>
      </w:r>
      <w:r w:rsidRPr="00FE383D">
        <w:t xml:space="preserve"> by Year</w:t>
      </w:r>
    </w:p>
    <w:p w14:paraId="0D6B08C0" w14:textId="77777777" w:rsidR="00512556" w:rsidRDefault="00512556" w:rsidP="00512556">
      <w:pPr>
        <w:pStyle w:val="FigureCaption"/>
      </w:pPr>
      <w:r>
        <w:drawing>
          <wp:inline distT="0" distB="0" distL="0" distR="0" wp14:anchorId="203E3D12" wp14:editId="3B7D0BD7">
            <wp:extent cx="6400800" cy="2435225"/>
            <wp:effectExtent l="0" t="0" r="0" b="3175"/>
            <wp:docPr id="64" name="Chart 64">
              <a:extLst xmlns:a="http://schemas.openxmlformats.org/drawingml/2006/main">
                <a:ext uri="{FF2B5EF4-FFF2-40B4-BE49-F238E27FC236}">
                  <a16:creationId xmlns:a16="http://schemas.microsoft.com/office/drawing/2014/main" id="{F0C62FED-8DDE-4CA0-8B74-6AEA068F7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3B5F80" w14:textId="77777777" w:rsidR="00512556" w:rsidRDefault="00512556" w:rsidP="00512556">
      <w:pPr>
        <w:pStyle w:val="FigureCaption"/>
        <w:rPr>
          <w:lang w:eastAsia="ja-JP"/>
        </w:rPr>
      </w:pPr>
      <w:r w:rsidRPr="00CA192E">
        <w:t>Source: UPTD</w:t>
      </w:r>
    </w:p>
    <w:p w14:paraId="6A62BB4C" w14:textId="2B8D3C74" w:rsidR="00512556" w:rsidRDefault="00512556" w:rsidP="00512556">
      <w:pPr>
        <w:pStyle w:val="Heading2"/>
        <w:rPr>
          <w:lang w:eastAsia="ja-JP"/>
        </w:rPr>
      </w:pPr>
      <w:r>
        <w:rPr>
          <w:lang w:eastAsia="ja-JP"/>
        </w:rPr>
        <w:t>Budget and Costs</w:t>
      </w:r>
    </w:p>
    <w:p w14:paraId="61DEF5D2" w14:textId="0C0316FF" w:rsidR="00512556" w:rsidRDefault="00512556" w:rsidP="00512556">
      <w:pPr>
        <w:rPr>
          <w:lang w:eastAsia="ja-JP"/>
        </w:rPr>
      </w:pPr>
      <w:r>
        <w:rPr>
          <w:lang w:eastAsia="ja-JP"/>
        </w:rPr>
        <w:fldChar w:fldCharType="begin"/>
      </w:r>
      <w:r>
        <w:rPr>
          <w:lang w:eastAsia="ja-JP"/>
        </w:rPr>
        <w:instrText xml:space="preserve"> REF _Ref76736418 \h </w:instrText>
      </w:r>
      <w:r>
        <w:rPr>
          <w:lang w:eastAsia="ja-JP"/>
        </w:rPr>
      </w:r>
      <w:r>
        <w:rPr>
          <w:lang w:eastAsia="ja-JP"/>
        </w:rPr>
        <w:fldChar w:fldCharType="separate"/>
      </w:r>
      <w:r>
        <w:t xml:space="preserve">Table </w:t>
      </w:r>
      <w:r>
        <w:rPr>
          <w:noProof/>
        </w:rPr>
        <w:t>2</w:t>
      </w:r>
      <w:r>
        <w:rPr>
          <w:lang w:eastAsia="ja-JP"/>
        </w:rPr>
        <w:fldChar w:fldCharType="end"/>
      </w:r>
      <w:r>
        <w:rPr>
          <w:lang w:eastAsia="ja-JP"/>
        </w:rPr>
        <w:t xml:space="preserve"> shows the annual cost allocations for UPTD by expense type. As shown for Fiscal Year 2021 (FY21), operations expenses accounted for </w:t>
      </w:r>
      <w:proofErr w:type="gramStart"/>
      <w:r>
        <w:rPr>
          <w:lang w:eastAsia="ja-JP"/>
        </w:rPr>
        <w:t>the majority of</w:t>
      </w:r>
      <w:proofErr w:type="gramEnd"/>
      <w:r>
        <w:rPr>
          <w:lang w:eastAsia="ja-JP"/>
        </w:rPr>
        <w:t xml:space="preserve"> expenses at about 75% of the budget without capital improvements. </w:t>
      </w:r>
    </w:p>
    <w:p w14:paraId="41895454" w14:textId="5716BA89" w:rsidR="00512556" w:rsidRDefault="00512556" w:rsidP="00512556">
      <w:pPr>
        <w:pStyle w:val="Caption"/>
      </w:pPr>
      <w:bookmarkStart w:id="9" w:name="_Ref76736418"/>
      <w:r>
        <w:lastRenderedPageBreak/>
        <w:t xml:space="preserve">Table </w:t>
      </w:r>
      <w:r w:rsidR="00E37ABF">
        <w:fldChar w:fldCharType="begin"/>
      </w:r>
      <w:r w:rsidR="00E37ABF">
        <w:instrText xml:space="preserve"> SEQ Tabl</w:instrText>
      </w:r>
      <w:r w:rsidR="00E37ABF">
        <w:instrText xml:space="preserve">e \* ARABIC </w:instrText>
      </w:r>
      <w:r w:rsidR="00E37ABF">
        <w:fldChar w:fldCharType="separate"/>
      </w:r>
      <w:r>
        <w:rPr>
          <w:noProof/>
        </w:rPr>
        <w:t>2</w:t>
      </w:r>
      <w:r w:rsidR="00E37ABF">
        <w:rPr>
          <w:noProof/>
        </w:rPr>
        <w:fldChar w:fldCharType="end"/>
      </w:r>
      <w:bookmarkEnd w:id="9"/>
      <w:r>
        <w:t>. 2021-2022 Cost Allocation by Expense Type</w:t>
      </w:r>
    </w:p>
    <w:tbl>
      <w:tblPr>
        <w:tblW w:w="9865" w:type="dxa"/>
        <w:tblLook w:val="04A0" w:firstRow="1" w:lastRow="0" w:firstColumn="1" w:lastColumn="0" w:noHBand="0" w:noVBand="1"/>
      </w:tblPr>
      <w:tblGrid>
        <w:gridCol w:w="2065"/>
        <w:gridCol w:w="1284"/>
        <w:gridCol w:w="1600"/>
        <w:gridCol w:w="1513"/>
        <w:gridCol w:w="2466"/>
        <w:gridCol w:w="937"/>
      </w:tblGrid>
      <w:tr w:rsidR="00512556" w:rsidRPr="00C44D03" w14:paraId="2555FCE2" w14:textId="77777777" w:rsidTr="006D7EDB">
        <w:trPr>
          <w:trHeight w:val="331"/>
        </w:trPr>
        <w:tc>
          <w:tcPr>
            <w:tcW w:w="2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04A80"/>
            <w:vAlign w:val="center"/>
            <w:hideMark/>
          </w:tcPr>
          <w:p w14:paraId="4C74E897"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 </w:t>
            </w:r>
          </w:p>
        </w:tc>
        <w:tc>
          <w:tcPr>
            <w:tcW w:w="1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04A80"/>
            <w:vAlign w:val="center"/>
            <w:hideMark/>
          </w:tcPr>
          <w:p w14:paraId="3C0BCD09"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Operations</w:t>
            </w:r>
          </w:p>
        </w:tc>
        <w:tc>
          <w:tcPr>
            <w:tcW w:w="1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04A80"/>
            <w:vAlign w:val="center"/>
            <w:hideMark/>
          </w:tcPr>
          <w:p w14:paraId="2BC5A67E"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Administration</w:t>
            </w:r>
          </w:p>
        </w:tc>
        <w:tc>
          <w:tcPr>
            <w:tcW w:w="1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04A80"/>
            <w:vAlign w:val="center"/>
            <w:hideMark/>
          </w:tcPr>
          <w:p w14:paraId="5890E98B"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Maintenance</w:t>
            </w:r>
          </w:p>
        </w:tc>
        <w:tc>
          <w:tcPr>
            <w:tcW w:w="24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04A80"/>
            <w:vAlign w:val="center"/>
            <w:hideMark/>
          </w:tcPr>
          <w:p w14:paraId="4A5C550F"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Total (without Capital)</w:t>
            </w:r>
          </w:p>
        </w:tc>
        <w:tc>
          <w:tcPr>
            <w:tcW w:w="937" w:type="dxa"/>
            <w:tcBorders>
              <w:top w:val="single" w:sz="8" w:space="0" w:color="FFFFFF"/>
              <w:left w:val="single" w:sz="4" w:space="0" w:color="FFFFFF" w:themeColor="background1"/>
              <w:bottom w:val="single" w:sz="8" w:space="0" w:color="FFFFFF"/>
              <w:right w:val="nil"/>
            </w:tcBorders>
            <w:shd w:val="clear" w:color="000000" w:fill="204A80"/>
            <w:vAlign w:val="center"/>
            <w:hideMark/>
          </w:tcPr>
          <w:p w14:paraId="5337F8F0"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Capital</w:t>
            </w:r>
          </w:p>
        </w:tc>
      </w:tr>
      <w:tr w:rsidR="00512556" w:rsidRPr="00C44D03" w14:paraId="2C6DF746" w14:textId="77777777" w:rsidTr="006D7EDB">
        <w:trPr>
          <w:trHeight w:val="313"/>
        </w:trPr>
        <w:tc>
          <w:tcPr>
            <w:tcW w:w="2065" w:type="dxa"/>
            <w:tcBorders>
              <w:top w:val="single" w:sz="4" w:space="0" w:color="FFFFFF" w:themeColor="background1"/>
              <w:left w:val="single" w:sz="8" w:space="0" w:color="FFFFFF"/>
              <w:bottom w:val="single" w:sz="8" w:space="0" w:color="FFFFFF"/>
              <w:right w:val="single" w:sz="8" w:space="0" w:color="FFFFFF"/>
            </w:tcBorders>
            <w:shd w:val="clear" w:color="000000" w:fill="204A80"/>
            <w:vAlign w:val="center"/>
            <w:hideMark/>
          </w:tcPr>
          <w:p w14:paraId="6ED340F1" w14:textId="77777777" w:rsidR="00512556" w:rsidRPr="00C44D03" w:rsidRDefault="00512556" w:rsidP="006D7EDB">
            <w:pPr>
              <w:keepNext/>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Allocation Amount</w:t>
            </w:r>
          </w:p>
        </w:tc>
        <w:tc>
          <w:tcPr>
            <w:tcW w:w="1284" w:type="dxa"/>
            <w:tcBorders>
              <w:top w:val="single" w:sz="4" w:space="0" w:color="FFFFFF" w:themeColor="background1"/>
              <w:left w:val="nil"/>
              <w:bottom w:val="single" w:sz="8" w:space="0" w:color="FFFFFF"/>
              <w:right w:val="single" w:sz="8" w:space="0" w:color="FFFFFF"/>
            </w:tcBorders>
            <w:shd w:val="clear" w:color="000000" w:fill="8FB3E3"/>
            <w:vAlign w:val="center"/>
            <w:hideMark/>
          </w:tcPr>
          <w:p w14:paraId="396F4B65" w14:textId="77777777" w:rsidR="00512556" w:rsidRPr="00C44D03" w:rsidRDefault="00512556" w:rsidP="006D7EDB">
            <w:pPr>
              <w:keepNext/>
              <w:spacing w:after="0" w:line="240" w:lineRule="auto"/>
              <w:jc w:val="center"/>
              <w:rPr>
                <w:rFonts w:eastAsia="Times New Roman" w:cs="Calibri"/>
                <w:color w:val="000000"/>
                <w:szCs w:val="20"/>
              </w:rPr>
            </w:pPr>
            <w:r w:rsidRPr="00C44D03">
              <w:rPr>
                <w:rFonts w:eastAsia="Times New Roman" w:cs="Calibri"/>
                <w:szCs w:val="20"/>
                <w:lang w:eastAsia="ja-JP"/>
              </w:rPr>
              <w:t xml:space="preserve">$2,856,310 </w:t>
            </w:r>
          </w:p>
        </w:tc>
        <w:tc>
          <w:tcPr>
            <w:tcW w:w="1600" w:type="dxa"/>
            <w:tcBorders>
              <w:top w:val="single" w:sz="4" w:space="0" w:color="FFFFFF" w:themeColor="background1"/>
              <w:left w:val="nil"/>
              <w:bottom w:val="single" w:sz="8" w:space="0" w:color="FFFFFF"/>
              <w:right w:val="single" w:sz="8" w:space="0" w:color="FFFFFF"/>
            </w:tcBorders>
            <w:shd w:val="clear" w:color="000000" w:fill="8FB3E3"/>
            <w:vAlign w:val="center"/>
            <w:hideMark/>
          </w:tcPr>
          <w:p w14:paraId="7DAC469E" w14:textId="77777777" w:rsidR="00512556" w:rsidRPr="00C44D03" w:rsidRDefault="00512556" w:rsidP="006D7EDB">
            <w:pPr>
              <w:keepNext/>
              <w:spacing w:after="0" w:line="240" w:lineRule="auto"/>
              <w:jc w:val="center"/>
              <w:rPr>
                <w:rFonts w:eastAsia="Times New Roman" w:cs="Calibri"/>
                <w:color w:val="000000"/>
                <w:szCs w:val="20"/>
              </w:rPr>
            </w:pPr>
            <w:r w:rsidRPr="00C44D03">
              <w:rPr>
                <w:rFonts w:eastAsia="Times New Roman" w:cs="Calibri"/>
                <w:szCs w:val="20"/>
                <w:lang w:eastAsia="ja-JP"/>
              </w:rPr>
              <w:t xml:space="preserve">$797,750 </w:t>
            </w:r>
          </w:p>
        </w:tc>
        <w:tc>
          <w:tcPr>
            <w:tcW w:w="1513" w:type="dxa"/>
            <w:tcBorders>
              <w:top w:val="single" w:sz="4" w:space="0" w:color="FFFFFF" w:themeColor="background1"/>
              <w:left w:val="nil"/>
              <w:bottom w:val="single" w:sz="8" w:space="0" w:color="FFFFFF"/>
              <w:right w:val="single" w:sz="8" w:space="0" w:color="FFFFFF"/>
            </w:tcBorders>
            <w:shd w:val="clear" w:color="000000" w:fill="8FB3E3"/>
            <w:vAlign w:val="center"/>
            <w:hideMark/>
          </w:tcPr>
          <w:p w14:paraId="551E0EF0" w14:textId="77777777" w:rsidR="00512556" w:rsidRPr="00C44D03" w:rsidRDefault="00512556" w:rsidP="006D7EDB">
            <w:pPr>
              <w:keepNext/>
              <w:spacing w:after="0" w:line="240" w:lineRule="auto"/>
              <w:jc w:val="center"/>
              <w:rPr>
                <w:rFonts w:eastAsia="Times New Roman" w:cs="Calibri"/>
                <w:color w:val="000000"/>
                <w:szCs w:val="20"/>
              </w:rPr>
            </w:pPr>
            <w:r w:rsidRPr="00C44D03">
              <w:rPr>
                <w:rFonts w:eastAsia="Times New Roman" w:cs="Calibri"/>
                <w:szCs w:val="20"/>
                <w:lang w:eastAsia="ja-JP"/>
              </w:rPr>
              <w:t xml:space="preserve">$177,140 </w:t>
            </w:r>
          </w:p>
        </w:tc>
        <w:tc>
          <w:tcPr>
            <w:tcW w:w="2466" w:type="dxa"/>
            <w:tcBorders>
              <w:top w:val="single" w:sz="4" w:space="0" w:color="FFFFFF" w:themeColor="background1"/>
              <w:left w:val="nil"/>
              <w:bottom w:val="single" w:sz="8" w:space="0" w:color="FFFFFF"/>
              <w:right w:val="single" w:sz="8" w:space="0" w:color="FFFFFF"/>
            </w:tcBorders>
            <w:shd w:val="clear" w:color="000000" w:fill="8FB3E3"/>
            <w:vAlign w:val="center"/>
            <w:hideMark/>
          </w:tcPr>
          <w:p w14:paraId="7D2FEA9F" w14:textId="77777777" w:rsidR="00512556" w:rsidRPr="00C44D03" w:rsidRDefault="00512556" w:rsidP="006D7EDB">
            <w:pPr>
              <w:keepNext/>
              <w:spacing w:after="0" w:line="240" w:lineRule="auto"/>
              <w:jc w:val="center"/>
              <w:rPr>
                <w:rFonts w:eastAsia="Times New Roman" w:cs="Calibri"/>
                <w:color w:val="000000"/>
                <w:szCs w:val="20"/>
              </w:rPr>
            </w:pPr>
            <w:r w:rsidRPr="00C44D03">
              <w:rPr>
                <w:rFonts w:eastAsia="Times New Roman" w:cs="Calibri"/>
                <w:szCs w:val="20"/>
                <w:lang w:eastAsia="ja-JP"/>
              </w:rPr>
              <w:t xml:space="preserve">$3,831,200 </w:t>
            </w:r>
          </w:p>
        </w:tc>
        <w:tc>
          <w:tcPr>
            <w:tcW w:w="937" w:type="dxa"/>
            <w:tcBorders>
              <w:top w:val="nil"/>
              <w:left w:val="nil"/>
              <w:bottom w:val="single" w:sz="8" w:space="0" w:color="FFFFFF"/>
              <w:right w:val="single" w:sz="8" w:space="0" w:color="FFFFFF"/>
            </w:tcBorders>
            <w:shd w:val="clear" w:color="000000" w:fill="8FB3E3"/>
            <w:vAlign w:val="center"/>
            <w:hideMark/>
          </w:tcPr>
          <w:p w14:paraId="3248C302" w14:textId="77777777" w:rsidR="00512556" w:rsidRPr="00C44D03" w:rsidRDefault="00512556" w:rsidP="006D7EDB">
            <w:pPr>
              <w:keepNext/>
              <w:spacing w:after="0" w:line="240" w:lineRule="auto"/>
              <w:jc w:val="center"/>
              <w:rPr>
                <w:rFonts w:eastAsia="Times New Roman" w:cs="Calibri"/>
                <w:color w:val="000000"/>
                <w:szCs w:val="20"/>
              </w:rPr>
            </w:pPr>
            <w:r w:rsidRPr="00C44D03">
              <w:rPr>
                <w:rFonts w:eastAsia="Times New Roman" w:cs="Calibri"/>
                <w:szCs w:val="20"/>
                <w:lang w:eastAsia="ja-JP"/>
              </w:rPr>
              <w:t xml:space="preserve">$30,000 </w:t>
            </w:r>
          </w:p>
        </w:tc>
      </w:tr>
      <w:tr w:rsidR="00512556" w:rsidRPr="00C44D03" w14:paraId="5090FBC2" w14:textId="77777777" w:rsidTr="006D7EDB">
        <w:trPr>
          <w:trHeight w:val="313"/>
        </w:trPr>
        <w:tc>
          <w:tcPr>
            <w:tcW w:w="2065" w:type="dxa"/>
            <w:tcBorders>
              <w:top w:val="nil"/>
              <w:left w:val="single" w:sz="8" w:space="0" w:color="FFFFFF"/>
              <w:bottom w:val="single" w:sz="8" w:space="0" w:color="FFFFFF"/>
              <w:right w:val="single" w:sz="8" w:space="0" w:color="FFFFFF"/>
            </w:tcBorders>
            <w:shd w:val="clear" w:color="000000" w:fill="204A80"/>
            <w:vAlign w:val="center"/>
            <w:hideMark/>
          </w:tcPr>
          <w:p w14:paraId="11B40037" w14:textId="77777777" w:rsidR="00512556" w:rsidRPr="00C44D03" w:rsidRDefault="00512556" w:rsidP="006D7EDB">
            <w:pPr>
              <w:spacing w:after="0" w:line="240" w:lineRule="auto"/>
              <w:jc w:val="center"/>
              <w:rPr>
                <w:rFonts w:eastAsia="Times New Roman" w:cs="Calibri"/>
                <w:b/>
                <w:bCs/>
                <w:color w:val="FFFFFF"/>
                <w:szCs w:val="20"/>
              </w:rPr>
            </w:pPr>
            <w:r w:rsidRPr="00C44D03">
              <w:rPr>
                <w:rFonts w:eastAsia="Times New Roman" w:cs="Calibri"/>
                <w:b/>
                <w:bCs/>
                <w:color w:val="FFFFFF" w:themeColor="background1"/>
                <w:szCs w:val="20"/>
                <w:lang w:eastAsia="ja-JP"/>
              </w:rPr>
              <w:t>Percent of Budget</w:t>
            </w:r>
          </w:p>
        </w:tc>
        <w:tc>
          <w:tcPr>
            <w:tcW w:w="1284" w:type="dxa"/>
            <w:tcBorders>
              <w:top w:val="nil"/>
              <w:left w:val="nil"/>
              <w:bottom w:val="single" w:sz="8" w:space="0" w:color="FFFFFF"/>
              <w:right w:val="single" w:sz="8" w:space="0" w:color="FFFFFF"/>
            </w:tcBorders>
            <w:shd w:val="clear" w:color="000000" w:fill="C7D9F1"/>
            <w:vAlign w:val="center"/>
            <w:hideMark/>
          </w:tcPr>
          <w:p w14:paraId="4178F1E8" w14:textId="77777777" w:rsidR="00512556" w:rsidRPr="00C44D03" w:rsidRDefault="00512556" w:rsidP="006D7EDB">
            <w:pPr>
              <w:spacing w:after="0" w:line="240" w:lineRule="auto"/>
              <w:jc w:val="center"/>
              <w:rPr>
                <w:rFonts w:eastAsia="Times New Roman" w:cs="Calibri"/>
                <w:color w:val="000000"/>
                <w:szCs w:val="20"/>
              </w:rPr>
            </w:pPr>
            <w:r w:rsidRPr="00C44D03">
              <w:rPr>
                <w:rFonts w:eastAsia="Times New Roman" w:cs="Calibri"/>
                <w:szCs w:val="20"/>
                <w:lang w:eastAsia="ja-JP"/>
              </w:rPr>
              <w:t>74.6%</w:t>
            </w:r>
          </w:p>
        </w:tc>
        <w:tc>
          <w:tcPr>
            <w:tcW w:w="1600" w:type="dxa"/>
            <w:tcBorders>
              <w:top w:val="nil"/>
              <w:left w:val="nil"/>
              <w:bottom w:val="single" w:sz="8" w:space="0" w:color="FFFFFF"/>
              <w:right w:val="single" w:sz="8" w:space="0" w:color="FFFFFF"/>
            </w:tcBorders>
            <w:shd w:val="clear" w:color="000000" w:fill="C7D9F1"/>
            <w:vAlign w:val="center"/>
            <w:hideMark/>
          </w:tcPr>
          <w:p w14:paraId="57E52666" w14:textId="77777777" w:rsidR="00512556" w:rsidRPr="00C44D03" w:rsidRDefault="00512556" w:rsidP="006D7EDB">
            <w:pPr>
              <w:spacing w:after="0" w:line="240" w:lineRule="auto"/>
              <w:jc w:val="center"/>
              <w:rPr>
                <w:rFonts w:eastAsia="Times New Roman" w:cs="Calibri"/>
                <w:color w:val="000000"/>
                <w:szCs w:val="20"/>
              </w:rPr>
            </w:pPr>
            <w:r w:rsidRPr="00C44D03">
              <w:rPr>
                <w:rFonts w:eastAsia="Times New Roman" w:cs="Calibri"/>
                <w:szCs w:val="20"/>
                <w:lang w:eastAsia="ja-JP"/>
              </w:rPr>
              <w:t>20.8%</w:t>
            </w:r>
          </w:p>
        </w:tc>
        <w:tc>
          <w:tcPr>
            <w:tcW w:w="1513" w:type="dxa"/>
            <w:tcBorders>
              <w:top w:val="nil"/>
              <w:left w:val="nil"/>
              <w:bottom w:val="single" w:sz="8" w:space="0" w:color="FFFFFF"/>
              <w:right w:val="single" w:sz="8" w:space="0" w:color="FFFFFF"/>
            </w:tcBorders>
            <w:shd w:val="clear" w:color="000000" w:fill="C7D9F1"/>
            <w:vAlign w:val="center"/>
            <w:hideMark/>
          </w:tcPr>
          <w:p w14:paraId="0CFEFE16" w14:textId="77777777" w:rsidR="00512556" w:rsidRPr="00C44D03" w:rsidRDefault="00512556" w:rsidP="006D7EDB">
            <w:pPr>
              <w:spacing w:after="0" w:line="240" w:lineRule="auto"/>
              <w:jc w:val="center"/>
              <w:rPr>
                <w:rFonts w:eastAsia="Times New Roman" w:cs="Calibri"/>
                <w:color w:val="000000"/>
                <w:szCs w:val="20"/>
              </w:rPr>
            </w:pPr>
            <w:r w:rsidRPr="00C44D03">
              <w:rPr>
                <w:rFonts w:eastAsia="Times New Roman" w:cs="Calibri"/>
                <w:szCs w:val="20"/>
                <w:lang w:eastAsia="ja-JP"/>
              </w:rPr>
              <w:t>4.6%</w:t>
            </w:r>
          </w:p>
        </w:tc>
        <w:tc>
          <w:tcPr>
            <w:tcW w:w="2466" w:type="dxa"/>
            <w:tcBorders>
              <w:top w:val="nil"/>
              <w:left w:val="nil"/>
              <w:bottom w:val="single" w:sz="8" w:space="0" w:color="FFFFFF"/>
              <w:right w:val="single" w:sz="8" w:space="0" w:color="FFFFFF"/>
            </w:tcBorders>
            <w:shd w:val="clear" w:color="000000" w:fill="C7D9F1"/>
            <w:vAlign w:val="center"/>
            <w:hideMark/>
          </w:tcPr>
          <w:p w14:paraId="2D663C1A" w14:textId="77777777" w:rsidR="00512556" w:rsidRPr="00C44D03" w:rsidRDefault="00512556" w:rsidP="006D7EDB">
            <w:pPr>
              <w:spacing w:after="0" w:line="240" w:lineRule="auto"/>
              <w:jc w:val="center"/>
              <w:rPr>
                <w:rFonts w:eastAsia="Times New Roman" w:cs="Calibri"/>
                <w:color w:val="000000"/>
                <w:szCs w:val="20"/>
              </w:rPr>
            </w:pPr>
            <w:r w:rsidRPr="00C44D03">
              <w:rPr>
                <w:rFonts w:eastAsia="Times New Roman" w:cs="Calibri"/>
                <w:color w:val="000000"/>
                <w:szCs w:val="20"/>
                <w:lang w:eastAsia="ja-JP"/>
              </w:rPr>
              <w:t> </w:t>
            </w:r>
          </w:p>
        </w:tc>
        <w:tc>
          <w:tcPr>
            <w:tcW w:w="937" w:type="dxa"/>
            <w:tcBorders>
              <w:top w:val="nil"/>
              <w:left w:val="nil"/>
              <w:bottom w:val="single" w:sz="8" w:space="0" w:color="FFFFFF"/>
              <w:right w:val="single" w:sz="8" w:space="0" w:color="FFFFFF"/>
            </w:tcBorders>
            <w:shd w:val="clear" w:color="000000" w:fill="C7D9F1"/>
            <w:vAlign w:val="center"/>
            <w:hideMark/>
          </w:tcPr>
          <w:p w14:paraId="461C8E6E" w14:textId="77777777" w:rsidR="00512556" w:rsidRPr="00C44D03" w:rsidRDefault="00512556" w:rsidP="006D7EDB">
            <w:pPr>
              <w:spacing w:after="0" w:line="240" w:lineRule="auto"/>
              <w:jc w:val="center"/>
              <w:rPr>
                <w:rFonts w:eastAsia="Times New Roman" w:cs="Calibri"/>
                <w:color w:val="000000"/>
                <w:szCs w:val="20"/>
              </w:rPr>
            </w:pPr>
            <w:r w:rsidRPr="00C44D03">
              <w:rPr>
                <w:rFonts w:eastAsia="Times New Roman" w:cs="Calibri"/>
                <w:color w:val="000000"/>
                <w:szCs w:val="20"/>
              </w:rPr>
              <w:t> </w:t>
            </w:r>
          </w:p>
        </w:tc>
      </w:tr>
    </w:tbl>
    <w:p w14:paraId="65172D99" w14:textId="623A7CD3" w:rsidR="00512556" w:rsidRDefault="00512556" w:rsidP="00512556">
      <w:pPr>
        <w:rPr>
          <w:lang w:eastAsia="ja-JP"/>
        </w:rPr>
      </w:pPr>
      <w:r>
        <w:rPr>
          <w:lang w:eastAsia="ja-JP"/>
        </w:rPr>
        <w:br/>
        <w:t xml:space="preserve">The $3,591,050 in funding available to UPTD in 2021-2022 came from federal, state, and local sources. </w:t>
      </w:r>
      <w:r>
        <w:rPr>
          <w:lang w:eastAsia="ja-JP"/>
        </w:rPr>
        <w:fldChar w:fldCharType="begin"/>
      </w:r>
      <w:r>
        <w:rPr>
          <w:lang w:eastAsia="ja-JP"/>
        </w:rPr>
        <w:instrText xml:space="preserve"> REF _Ref76736211 \h </w:instrText>
      </w:r>
      <w:r>
        <w:rPr>
          <w:lang w:eastAsia="ja-JP"/>
        </w:rPr>
      </w:r>
      <w:r>
        <w:rPr>
          <w:lang w:eastAsia="ja-JP"/>
        </w:rPr>
        <w:fldChar w:fldCharType="separate"/>
      </w:r>
      <w:r>
        <w:t xml:space="preserve">Figure </w:t>
      </w:r>
      <w:r>
        <w:rPr>
          <w:noProof/>
        </w:rPr>
        <w:t>5</w:t>
      </w:r>
      <w:r>
        <w:rPr>
          <w:lang w:eastAsia="ja-JP"/>
        </w:rPr>
        <w:fldChar w:fldCharType="end"/>
      </w:r>
      <w:r>
        <w:rPr>
          <w:lang w:eastAsia="ja-JP"/>
        </w:rPr>
        <w:t xml:space="preserve"> shows the amount provided from each of the three sources. Federal funding was by far the largest contributor, including a $450,000 Coronavirus Response and Relief Supplemental Appropriations Act (CRRSAA) Grant. The CRRSAA Grant is not expected to be provided in future years. Other federal funding included formula grants, which are anticipated to remain stable in future years. State funding sources are largely the Special Transportation Fund (STF) and Statewide Transportation Improvement Fund (STIF). Local sources include fares, contract revenues, and advertising.</w:t>
      </w:r>
    </w:p>
    <w:p w14:paraId="453D248B" w14:textId="6DF75680" w:rsidR="00512556" w:rsidRPr="00D91B15" w:rsidRDefault="00512556" w:rsidP="00512556">
      <w:pPr>
        <w:pStyle w:val="Caption"/>
        <w:rPr>
          <w:noProof/>
          <w:sz w:val="20"/>
        </w:rPr>
      </w:pPr>
      <w:bookmarkStart w:id="10" w:name="_Ref76736211"/>
      <w:r>
        <w:t xml:space="preserve">Figure </w:t>
      </w:r>
      <w:r w:rsidR="00E37ABF">
        <w:fldChar w:fldCharType="begin"/>
      </w:r>
      <w:r w:rsidR="00E37ABF">
        <w:instrText xml:space="preserve"> SEQ Figure \* ARABIC </w:instrText>
      </w:r>
      <w:r w:rsidR="00E37ABF">
        <w:fldChar w:fldCharType="separate"/>
      </w:r>
      <w:r>
        <w:rPr>
          <w:noProof/>
        </w:rPr>
        <w:t>5</w:t>
      </w:r>
      <w:r w:rsidR="00E37ABF">
        <w:rPr>
          <w:noProof/>
        </w:rPr>
        <w:fldChar w:fldCharType="end"/>
      </w:r>
      <w:bookmarkEnd w:id="10"/>
      <w:r>
        <w:t>. Funding Type</w:t>
      </w:r>
    </w:p>
    <w:p w14:paraId="55AFB9CB" w14:textId="77777777" w:rsidR="00512556" w:rsidRPr="00C1111F" w:rsidRDefault="00512556" w:rsidP="00512556">
      <w:pPr>
        <w:rPr>
          <w:rStyle w:val="FigureCaptionChar"/>
        </w:rPr>
      </w:pPr>
      <w:r>
        <w:rPr>
          <w:noProof/>
        </w:rPr>
        <w:drawing>
          <wp:inline distT="0" distB="0" distL="0" distR="0" wp14:anchorId="51777DA8" wp14:editId="478A6C67">
            <wp:extent cx="4806779" cy="2125362"/>
            <wp:effectExtent l="0" t="0" r="13335" b="8255"/>
            <wp:docPr id="7" name="Chart 7">
              <a:extLst xmlns:a="http://schemas.openxmlformats.org/drawingml/2006/main">
                <a:ext uri="{FF2B5EF4-FFF2-40B4-BE49-F238E27FC236}">
                  <a16:creationId xmlns:a16="http://schemas.microsoft.com/office/drawing/2014/main" id="{07E5DE0F-5500-4B93-B569-20100A912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t xml:space="preserve"> </w:t>
      </w:r>
      <w:r>
        <w:rPr>
          <w:lang w:eastAsia="ja-JP"/>
        </w:rPr>
        <w:br w:type="textWrapping" w:clear="all"/>
      </w:r>
      <w:r w:rsidRPr="00C1111F">
        <w:rPr>
          <w:rStyle w:val="FigureCaptionChar"/>
        </w:rPr>
        <w:t>Source: UPTD</w:t>
      </w:r>
      <w:r>
        <w:rPr>
          <w:rStyle w:val="FigureCaptionChar"/>
        </w:rPr>
        <w:t xml:space="preserve">, excludes cash carryover from previous years. </w:t>
      </w:r>
    </w:p>
    <w:p w14:paraId="7E8A01A1" w14:textId="074401B7" w:rsidR="00EE3D30" w:rsidRDefault="00EE3D30" w:rsidP="00EE3D30">
      <w:pPr>
        <w:pStyle w:val="Heading1"/>
      </w:pPr>
      <w:bookmarkStart w:id="11" w:name="_Toc12797388"/>
      <w:bookmarkStart w:id="12" w:name="_Toc78446173"/>
      <w:r>
        <w:t>Goals and Policies</w:t>
      </w:r>
      <w:bookmarkEnd w:id="11"/>
      <w:bookmarkEnd w:id="12"/>
    </w:p>
    <w:p w14:paraId="570270F7" w14:textId="256A0C2A" w:rsidR="00AE79AA" w:rsidRPr="00AE79AA" w:rsidRDefault="00AC00D4" w:rsidP="00AE79AA">
      <w:r>
        <w:t xml:space="preserve">The following goals and policies </w:t>
      </w:r>
      <w:r w:rsidR="00AE79AA">
        <w:t>will help guide the development of appropriate strategies to enhance transit service, facilities, and amenities</w:t>
      </w:r>
      <w:r>
        <w:t xml:space="preserve"> in Douglas County. See Memo 2: Transit Goals, Policies, and Practices for more information on how they were developed.</w:t>
      </w:r>
    </w:p>
    <w:p w14:paraId="3C33D3B2" w14:textId="092EB39E" w:rsidR="00AC6EA7" w:rsidRDefault="00AC6EA7" w:rsidP="00AC6EA7">
      <w:pPr>
        <w:pStyle w:val="Bullet1"/>
      </w:pPr>
      <w:r>
        <w:t xml:space="preserve">Goal 1. Provide </w:t>
      </w:r>
      <w:r w:rsidRPr="004D106E">
        <w:rPr>
          <w:b/>
          <w:bCs/>
        </w:rPr>
        <w:t>improved transit</w:t>
      </w:r>
      <w:r>
        <w:t xml:space="preserve"> </w:t>
      </w:r>
      <w:r w:rsidRPr="001C0EB6">
        <w:rPr>
          <w:b/>
          <w:bCs/>
        </w:rPr>
        <w:t>services for residents, employees, and visitors</w:t>
      </w:r>
      <w:r>
        <w:t xml:space="preserve"> throughout Douglas County.</w:t>
      </w:r>
    </w:p>
    <w:p w14:paraId="11864EF9" w14:textId="7640684D" w:rsidR="00AC6EA7" w:rsidRDefault="00AC6EA7" w:rsidP="00145B5C">
      <w:pPr>
        <w:pStyle w:val="Bullet2"/>
      </w:pPr>
      <w:r>
        <w:t>Policy 1.1. Prioritize improvements for transit-dependent people, including low-income populations, people with disabilities, zero</w:t>
      </w:r>
      <w:r w:rsidR="006175BD">
        <w:t>-</w:t>
      </w:r>
      <w:r>
        <w:t>vehicle households, communities of color, older adults, youth, and people with limited English proficiency.</w:t>
      </w:r>
    </w:p>
    <w:p w14:paraId="7A2B3FF9" w14:textId="7BDB8732" w:rsidR="00AC6EA7" w:rsidRDefault="00AC6EA7" w:rsidP="00145B5C">
      <w:pPr>
        <w:pStyle w:val="Bullet2"/>
      </w:pPr>
      <w:r>
        <w:t xml:space="preserve">Policy 1.2. </w:t>
      </w:r>
      <w:r w:rsidR="0056659F">
        <w:t>Improve transit f</w:t>
      </w:r>
      <w:r>
        <w:t>requency and reliability</w:t>
      </w:r>
      <w:r w:rsidR="0056659F">
        <w:t xml:space="preserve"> for existing fixed-route, paratransit, and demand-response transit services.</w:t>
      </w:r>
    </w:p>
    <w:p w14:paraId="54DBE673" w14:textId="5A8DFFD6" w:rsidR="00AC6EA7" w:rsidRDefault="00070456" w:rsidP="00145B5C">
      <w:pPr>
        <w:pStyle w:val="Bullet2"/>
      </w:pPr>
      <w:r>
        <w:t xml:space="preserve">Policy 1.3. </w:t>
      </w:r>
      <w:r w:rsidR="00854AE0">
        <w:t>Expand</w:t>
      </w:r>
      <w:r>
        <w:t xml:space="preserve"> </w:t>
      </w:r>
      <w:r w:rsidR="0003437D">
        <w:t xml:space="preserve">the </w:t>
      </w:r>
      <w:r>
        <w:t xml:space="preserve">geographic coverage </w:t>
      </w:r>
      <w:r w:rsidR="0056359F">
        <w:t xml:space="preserve">of </w:t>
      </w:r>
      <w:r w:rsidR="0003437D">
        <w:t xml:space="preserve">Douglas County’s </w:t>
      </w:r>
      <w:r w:rsidR="0056359F">
        <w:t>fixed-route, para-transit, and demand-response transit service</w:t>
      </w:r>
      <w:r w:rsidR="0003437D">
        <w:t>s</w:t>
      </w:r>
      <w:r w:rsidR="0056359F">
        <w:t>.</w:t>
      </w:r>
    </w:p>
    <w:p w14:paraId="6AE6D3B4" w14:textId="063BD7B3" w:rsidR="00AE4CDF" w:rsidRDefault="00AE4CDF" w:rsidP="00145B5C">
      <w:pPr>
        <w:pStyle w:val="Bullet2"/>
      </w:pPr>
      <w:r>
        <w:t>Policy 1.4. Connect to activity centers, schools, government centers, grocery stores, pharmacies, and other community resources.</w:t>
      </w:r>
    </w:p>
    <w:p w14:paraId="2BD259A3" w14:textId="595A674F" w:rsidR="0056659F" w:rsidRPr="00854AE0" w:rsidRDefault="0056659F" w:rsidP="00145B5C">
      <w:pPr>
        <w:pStyle w:val="Bullet2"/>
        <w:rPr>
          <w:i/>
          <w:iCs/>
        </w:rPr>
      </w:pPr>
      <w:r w:rsidRPr="00854AE0">
        <w:rPr>
          <w:i/>
          <w:iCs/>
        </w:rPr>
        <w:lastRenderedPageBreak/>
        <w:t>Practice</w:t>
      </w:r>
      <w:r w:rsidR="00854AE0">
        <w:rPr>
          <w:i/>
          <w:iCs/>
        </w:rPr>
        <w:t>:</w:t>
      </w:r>
      <w:r w:rsidRPr="00854AE0">
        <w:rPr>
          <w:i/>
          <w:iCs/>
        </w:rPr>
        <w:t xml:space="preserve"> Establish an evaluation framework</w:t>
      </w:r>
      <w:r w:rsidR="00854AE0">
        <w:rPr>
          <w:i/>
          <w:iCs/>
        </w:rPr>
        <w:t xml:space="preserve"> and monitoring program</w:t>
      </w:r>
      <w:r w:rsidRPr="00854AE0">
        <w:rPr>
          <w:i/>
          <w:iCs/>
        </w:rPr>
        <w:t xml:space="preserve"> that considers</w:t>
      </w:r>
      <w:r w:rsidR="00854AE0">
        <w:rPr>
          <w:i/>
          <w:iCs/>
        </w:rPr>
        <w:t xml:space="preserve"> service to </w:t>
      </w:r>
      <w:r w:rsidRPr="00854AE0">
        <w:rPr>
          <w:i/>
          <w:iCs/>
        </w:rPr>
        <w:t xml:space="preserve">transit-dependent populations, thresholds for frequency improvements, </w:t>
      </w:r>
      <w:r w:rsidR="00854AE0">
        <w:rPr>
          <w:i/>
          <w:iCs/>
        </w:rPr>
        <w:t>reliability and on-time performance tracking</w:t>
      </w:r>
      <w:r w:rsidR="00854AE0" w:rsidRPr="00854AE0">
        <w:rPr>
          <w:i/>
          <w:iCs/>
        </w:rPr>
        <w:t xml:space="preserve">, </w:t>
      </w:r>
      <w:r w:rsidRPr="00854AE0">
        <w:rPr>
          <w:i/>
          <w:iCs/>
        </w:rPr>
        <w:t xml:space="preserve">and </w:t>
      </w:r>
      <w:r w:rsidR="00854AE0">
        <w:rPr>
          <w:i/>
          <w:iCs/>
        </w:rPr>
        <w:t xml:space="preserve">triggers for new </w:t>
      </w:r>
      <w:r w:rsidRPr="00854AE0">
        <w:rPr>
          <w:i/>
          <w:iCs/>
        </w:rPr>
        <w:t>geographic coverage.</w:t>
      </w:r>
    </w:p>
    <w:p w14:paraId="6AD9796A" w14:textId="488CA1B5" w:rsidR="00854AE0" w:rsidRDefault="00E063C1" w:rsidP="00AC6EA7">
      <w:pPr>
        <w:pStyle w:val="Bullet1"/>
      </w:pPr>
      <w:r>
        <w:t xml:space="preserve">Goal 2. </w:t>
      </w:r>
      <w:r w:rsidR="00AE4CDF" w:rsidRPr="004D106E">
        <w:rPr>
          <w:b/>
          <w:bCs/>
        </w:rPr>
        <w:t xml:space="preserve">Enhance </w:t>
      </w:r>
      <w:r w:rsidR="00854AE0" w:rsidRPr="001C0EB6">
        <w:rPr>
          <w:b/>
          <w:bCs/>
        </w:rPr>
        <w:t>coordination</w:t>
      </w:r>
      <w:r w:rsidR="00854AE0">
        <w:t xml:space="preserve"> with key partners and stakeholders. </w:t>
      </w:r>
    </w:p>
    <w:p w14:paraId="238D59FB" w14:textId="743FCDD6" w:rsidR="00AC6EA7" w:rsidRDefault="00C64BA7" w:rsidP="00145B5C">
      <w:pPr>
        <w:pStyle w:val="Bullet2"/>
      </w:pPr>
      <w:r>
        <w:t>Policy 2.</w:t>
      </w:r>
      <w:r w:rsidR="00FB309D">
        <w:t>1</w:t>
      </w:r>
      <w:r>
        <w:t xml:space="preserve">. </w:t>
      </w:r>
      <w:r w:rsidR="002E6C48">
        <w:t xml:space="preserve">Foster new and innovative partnerships to share and leverage resources, improve services, and further create awareness of UPTD in the community. </w:t>
      </w:r>
      <w:r>
        <w:t xml:space="preserve"> </w:t>
      </w:r>
    </w:p>
    <w:p w14:paraId="0D6EC38B" w14:textId="740232E8" w:rsidR="00AC6EA7" w:rsidRDefault="00C64BA7" w:rsidP="00145B5C">
      <w:pPr>
        <w:pStyle w:val="Bullet2"/>
      </w:pPr>
      <w:r>
        <w:t>Policy 2.</w:t>
      </w:r>
      <w:r w:rsidR="00FB309D">
        <w:t>2</w:t>
      </w:r>
      <w:r>
        <w:t xml:space="preserve">. Collaborate with local governments and </w:t>
      </w:r>
      <w:r w:rsidR="00FB309D">
        <w:t xml:space="preserve">connecting </w:t>
      </w:r>
      <w:r>
        <w:t xml:space="preserve">transit providers to ensure transit </w:t>
      </w:r>
      <w:r w:rsidR="0003437D">
        <w:t xml:space="preserve">service </w:t>
      </w:r>
      <w:r>
        <w:t>meet</w:t>
      </w:r>
      <w:r w:rsidR="0003437D">
        <w:t>s</w:t>
      </w:r>
      <w:r>
        <w:t xml:space="preserve"> the needs of riders. </w:t>
      </w:r>
    </w:p>
    <w:p w14:paraId="21FD327E" w14:textId="6477BEDA" w:rsidR="00FB309D" w:rsidRPr="00FB309D" w:rsidRDefault="00FB309D" w:rsidP="00145B5C">
      <w:pPr>
        <w:pStyle w:val="Bullet2"/>
      </w:pPr>
      <w:r w:rsidRPr="00FB309D">
        <w:t>Policy 2.</w:t>
      </w:r>
      <w:r>
        <w:t>3</w:t>
      </w:r>
      <w:r w:rsidRPr="00FB309D">
        <w:t xml:space="preserve">. </w:t>
      </w:r>
      <w:r>
        <w:t xml:space="preserve">Form partnerships with key stakeholders and establish ongoing feedback channels to improve customer service.  </w:t>
      </w:r>
    </w:p>
    <w:p w14:paraId="4E20889A" w14:textId="623DA9EB" w:rsidR="0056659F" w:rsidRPr="00157F36" w:rsidRDefault="0056659F" w:rsidP="00145B5C">
      <w:pPr>
        <w:pStyle w:val="Bullet2"/>
        <w:rPr>
          <w:i/>
          <w:iCs/>
        </w:rPr>
      </w:pPr>
      <w:r w:rsidRPr="00157F36">
        <w:rPr>
          <w:i/>
          <w:iCs/>
        </w:rPr>
        <w:t>Practice</w:t>
      </w:r>
      <w:r w:rsidR="00FB309D" w:rsidRPr="00157F36">
        <w:rPr>
          <w:i/>
          <w:iCs/>
        </w:rPr>
        <w:t xml:space="preserve">: </w:t>
      </w:r>
      <w:r w:rsidRPr="00157F36">
        <w:rPr>
          <w:i/>
          <w:iCs/>
        </w:rPr>
        <w:t xml:space="preserve">Meet regularly with cities, connecting transit providers, employers, </w:t>
      </w:r>
      <w:r w:rsidR="00FB309D" w:rsidRPr="00157F36">
        <w:rPr>
          <w:i/>
          <w:iCs/>
        </w:rPr>
        <w:t xml:space="preserve">community-based organizations, </w:t>
      </w:r>
      <w:r w:rsidRPr="00157F36">
        <w:rPr>
          <w:i/>
          <w:iCs/>
        </w:rPr>
        <w:t>and other key stakeholders to discuss transit needs.</w:t>
      </w:r>
    </w:p>
    <w:p w14:paraId="41412ED1" w14:textId="15C3F311" w:rsidR="00AC6EA7" w:rsidRDefault="00E063C1" w:rsidP="00AC6EA7">
      <w:pPr>
        <w:pStyle w:val="Bullet1"/>
      </w:pPr>
      <w:r>
        <w:t xml:space="preserve">Goal 3. </w:t>
      </w:r>
      <w:r w:rsidR="00FC06E6" w:rsidRPr="004D106E">
        <w:rPr>
          <w:b/>
          <w:bCs/>
        </w:rPr>
        <w:t>Promote</w:t>
      </w:r>
      <w:r w:rsidR="00FC06E6">
        <w:t xml:space="preserve"> </w:t>
      </w:r>
      <w:r w:rsidR="00FC06E6" w:rsidRPr="001C0EB6">
        <w:rPr>
          <w:b/>
          <w:bCs/>
        </w:rPr>
        <w:t>livability</w:t>
      </w:r>
      <w:r w:rsidR="00FC06E6">
        <w:t xml:space="preserve"> and user </w:t>
      </w:r>
      <w:r w:rsidR="00FC06E6" w:rsidRPr="001C0EB6">
        <w:rPr>
          <w:b/>
          <w:bCs/>
        </w:rPr>
        <w:t>c</w:t>
      </w:r>
      <w:r w:rsidR="00AC6EA7" w:rsidRPr="001C0EB6">
        <w:rPr>
          <w:b/>
          <w:bCs/>
        </w:rPr>
        <w:t>onvenien</w:t>
      </w:r>
      <w:r w:rsidR="00FC06E6" w:rsidRPr="001C0EB6">
        <w:rPr>
          <w:b/>
          <w:bCs/>
        </w:rPr>
        <w:t>ce</w:t>
      </w:r>
      <w:r w:rsidR="00AC6EA7" w:rsidRPr="00AC6EA7">
        <w:t xml:space="preserve"> </w:t>
      </w:r>
      <w:r w:rsidR="00FC06E6">
        <w:t>through</w:t>
      </w:r>
      <w:r w:rsidR="002D08A0">
        <w:t xml:space="preserve">out </w:t>
      </w:r>
      <w:r w:rsidR="00FC06E6">
        <w:t xml:space="preserve">Douglas County. </w:t>
      </w:r>
    </w:p>
    <w:p w14:paraId="3B5B01C0" w14:textId="7238FE14" w:rsidR="00AC6EA7" w:rsidRDefault="00FC06E6" w:rsidP="00145B5C">
      <w:pPr>
        <w:pStyle w:val="Bullet2"/>
      </w:pPr>
      <w:r>
        <w:t>Policy 3.1</w:t>
      </w:r>
      <w:r w:rsidR="002E6C48">
        <w:t>.</w:t>
      </w:r>
      <w:r>
        <w:t xml:space="preserve"> </w:t>
      </w:r>
      <w:r w:rsidR="00C21390">
        <w:t xml:space="preserve">Provide </w:t>
      </w:r>
      <w:r w:rsidR="00185A3B">
        <w:t>c</w:t>
      </w:r>
      <w:r w:rsidR="00AC6EA7">
        <w:t>ommunity betterment and beautification</w:t>
      </w:r>
      <w:r w:rsidR="00185A3B">
        <w:t xml:space="preserve"> through increased transit </w:t>
      </w:r>
      <w:r>
        <w:t>infrastructure and service</w:t>
      </w:r>
      <w:r w:rsidR="002D08A0">
        <w:t>, including bicycle and pedestrian connections to bus stops and improved bus stop amenities.</w:t>
      </w:r>
    </w:p>
    <w:p w14:paraId="15AA76DC" w14:textId="3B10EFE3" w:rsidR="00AC6EA7" w:rsidRDefault="00FC06E6" w:rsidP="00145B5C">
      <w:pPr>
        <w:pStyle w:val="Bullet2"/>
      </w:pPr>
      <w:r>
        <w:t>Policy 3.2</w:t>
      </w:r>
      <w:r w:rsidR="002E6C48">
        <w:t>.</w:t>
      </w:r>
      <w:r>
        <w:t xml:space="preserve"> Prioritize strategies to reduce single-occupancy vehicle trips</w:t>
      </w:r>
      <w:r w:rsidR="002D08A0">
        <w:t>, such as pursuing bus-on-shoulder operations to make transit a competitive alternative to driving alone</w:t>
      </w:r>
      <w:r>
        <w:t xml:space="preserve">. </w:t>
      </w:r>
    </w:p>
    <w:p w14:paraId="216D0BD1" w14:textId="1367D503" w:rsidR="00AC6EA7" w:rsidRDefault="002E6C48" w:rsidP="00145B5C">
      <w:pPr>
        <w:pStyle w:val="Bullet2"/>
      </w:pPr>
      <w:r>
        <w:t xml:space="preserve">Policy 3.3. </w:t>
      </w:r>
      <w:r w:rsidR="002D08A0">
        <w:t xml:space="preserve">Monitor demand from smaller communities and consider improvements to </w:t>
      </w:r>
      <w:r>
        <w:t>north</w:t>
      </w:r>
      <w:r w:rsidR="0003437D">
        <w:t>–</w:t>
      </w:r>
      <w:r>
        <w:t xml:space="preserve">south </w:t>
      </w:r>
      <w:r w:rsidR="0003437D">
        <w:t xml:space="preserve">service </w:t>
      </w:r>
      <w:r>
        <w:t xml:space="preserve">as communities continue to grow. </w:t>
      </w:r>
    </w:p>
    <w:p w14:paraId="00FA34B2" w14:textId="3CB0D3CF" w:rsidR="00C64BA7" w:rsidRPr="00157F36" w:rsidRDefault="00C64BA7" w:rsidP="00145B5C">
      <w:pPr>
        <w:pStyle w:val="Bullet2"/>
        <w:rPr>
          <w:i/>
          <w:iCs/>
        </w:rPr>
      </w:pPr>
      <w:r w:rsidRPr="00157F36">
        <w:rPr>
          <w:i/>
          <w:iCs/>
        </w:rPr>
        <w:t>Practic</w:t>
      </w:r>
      <w:r w:rsidR="00FB309D">
        <w:rPr>
          <w:i/>
          <w:iCs/>
        </w:rPr>
        <w:t xml:space="preserve">e: </w:t>
      </w:r>
      <w:r w:rsidRPr="00157F36">
        <w:rPr>
          <w:i/>
          <w:iCs/>
        </w:rPr>
        <w:t xml:space="preserve">Develop transit service opportunities </w:t>
      </w:r>
      <w:r w:rsidR="002D08A0">
        <w:rPr>
          <w:i/>
          <w:iCs/>
        </w:rPr>
        <w:t>that</w:t>
      </w:r>
      <w:r w:rsidR="002D08A0" w:rsidRPr="00157F36">
        <w:rPr>
          <w:i/>
          <w:iCs/>
        </w:rPr>
        <w:t xml:space="preserve"> </w:t>
      </w:r>
      <w:r w:rsidR="0056359F" w:rsidRPr="00157F36">
        <w:rPr>
          <w:i/>
          <w:iCs/>
        </w:rPr>
        <w:t xml:space="preserve">improve </w:t>
      </w:r>
      <w:r w:rsidR="00FC06E6" w:rsidRPr="00157F36">
        <w:rPr>
          <w:i/>
          <w:iCs/>
        </w:rPr>
        <w:t xml:space="preserve">inter-county and intra-county </w:t>
      </w:r>
      <w:r w:rsidR="002E6C48" w:rsidRPr="00157F36">
        <w:rPr>
          <w:i/>
          <w:iCs/>
        </w:rPr>
        <w:t xml:space="preserve">connectivity </w:t>
      </w:r>
      <w:r w:rsidR="002D08A0">
        <w:rPr>
          <w:i/>
          <w:iCs/>
        </w:rPr>
        <w:t>and enhance bus stop access and amenities</w:t>
      </w:r>
      <w:r w:rsidR="00C21390">
        <w:rPr>
          <w:i/>
          <w:iCs/>
        </w:rPr>
        <w:t>, including bicycle storage at stops</w:t>
      </w:r>
      <w:r w:rsidR="002E6C48" w:rsidRPr="00157F36">
        <w:rPr>
          <w:i/>
          <w:iCs/>
        </w:rPr>
        <w:t xml:space="preserve">. </w:t>
      </w:r>
    </w:p>
    <w:p w14:paraId="0D0180E5" w14:textId="01581138" w:rsidR="00AC6EA7" w:rsidRDefault="00E063C1" w:rsidP="00AC6EA7">
      <w:pPr>
        <w:pStyle w:val="Bullet1"/>
      </w:pPr>
      <w:r>
        <w:t xml:space="preserve">Goal 4. </w:t>
      </w:r>
      <w:r w:rsidR="002D08A0">
        <w:t xml:space="preserve">Establish </w:t>
      </w:r>
      <w:r>
        <w:t xml:space="preserve">an environmentally and financially </w:t>
      </w:r>
      <w:r w:rsidRPr="001C0EB6">
        <w:rPr>
          <w:b/>
          <w:bCs/>
        </w:rPr>
        <w:t>s</w:t>
      </w:r>
      <w:r w:rsidR="00AC6EA7" w:rsidRPr="001C0EB6">
        <w:rPr>
          <w:b/>
          <w:bCs/>
        </w:rPr>
        <w:t>ustainable</w:t>
      </w:r>
      <w:r>
        <w:t xml:space="preserve"> transit system.</w:t>
      </w:r>
    </w:p>
    <w:p w14:paraId="423C6644" w14:textId="56733821" w:rsidR="00AC6EA7" w:rsidRDefault="00E063C1" w:rsidP="00145B5C">
      <w:pPr>
        <w:pStyle w:val="Bullet2"/>
      </w:pPr>
      <w:r>
        <w:t>Policy 4.1</w:t>
      </w:r>
      <w:r w:rsidR="00CC5ED7">
        <w:t>.</w:t>
      </w:r>
      <w:r>
        <w:t xml:space="preserve"> </w:t>
      </w:r>
      <w:r w:rsidR="002D08A0">
        <w:t>Pursue clean fuel for transit vehicles, such as electrification of the f</w:t>
      </w:r>
      <w:r>
        <w:t xml:space="preserve">uture vehicle fleet and infrastructure. </w:t>
      </w:r>
    </w:p>
    <w:p w14:paraId="46F4339D" w14:textId="6F00C707" w:rsidR="00AC6EA7" w:rsidRDefault="00CC5ED7" w:rsidP="00145B5C">
      <w:pPr>
        <w:pStyle w:val="Bullet2"/>
      </w:pPr>
      <w:r>
        <w:t xml:space="preserve">Policy 4.2. </w:t>
      </w:r>
      <w:r w:rsidR="00185A3B">
        <w:t xml:space="preserve">Foster financial sustainability </w:t>
      </w:r>
      <w:r w:rsidR="0003437D">
        <w:t>by establishing</w:t>
      </w:r>
      <w:r w:rsidR="00185A3B">
        <w:t xml:space="preserve"> stable</w:t>
      </w:r>
      <w:r w:rsidR="00C24C3B">
        <w:t xml:space="preserve"> local</w:t>
      </w:r>
      <w:r w:rsidR="00185A3B">
        <w:t xml:space="preserve"> funding sources </w:t>
      </w:r>
      <w:r w:rsidR="00AC6EA7">
        <w:t>to supplement</w:t>
      </w:r>
      <w:r w:rsidR="002D08A0">
        <w:t xml:space="preserve"> existing sources</w:t>
      </w:r>
      <w:r w:rsidR="00185A3B">
        <w:t>.</w:t>
      </w:r>
    </w:p>
    <w:p w14:paraId="2AA52555" w14:textId="0D942FC0" w:rsidR="002D08A0" w:rsidRDefault="002D08A0" w:rsidP="00145B5C">
      <w:pPr>
        <w:pStyle w:val="Bullet2"/>
      </w:pPr>
      <w:r>
        <w:t xml:space="preserve">Policy 4.3. Identify a range of future service opportunities that can be ready </w:t>
      </w:r>
      <w:r w:rsidR="00C24C3B">
        <w:t xml:space="preserve">to take advantage of </w:t>
      </w:r>
      <w:r>
        <w:t>grant fund</w:t>
      </w:r>
      <w:r w:rsidR="00C24C3B">
        <w:t>ing opportunitie</w:t>
      </w:r>
      <w:r>
        <w:t xml:space="preserve">s, such as those focused on capital improvements, service reliability, </w:t>
      </w:r>
      <w:r w:rsidR="00C21390">
        <w:t xml:space="preserve">recreation/tourism, </w:t>
      </w:r>
      <w:r>
        <w:t>and/or geographic coverage.</w:t>
      </w:r>
    </w:p>
    <w:p w14:paraId="77EA0976" w14:textId="7839EBD9" w:rsidR="00CC5ED7" w:rsidRPr="00157F36" w:rsidRDefault="00FB309D" w:rsidP="00145B5C">
      <w:pPr>
        <w:pStyle w:val="Bullet2"/>
        <w:rPr>
          <w:i/>
          <w:iCs/>
        </w:rPr>
      </w:pPr>
      <w:r w:rsidRPr="000D284E">
        <w:rPr>
          <w:i/>
          <w:iCs/>
        </w:rPr>
        <w:t>Practic</w:t>
      </w:r>
      <w:r>
        <w:rPr>
          <w:i/>
          <w:iCs/>
        </w:rPr>
        <w:t xml:space="preserve">e: </w:t>
      </w:r>
      <w:r w:rsidR="002D08A0">
        <w:rPr>
          <w:i/>
          <w:iCs/>
        </w:rPr>
        <w:t>Collaborate with local jurisdictions</w:t>
      </w:r>
      <w:r w:rsidR="00F869A0" w:rsidRPr="00157F36">
        <w:rPr>
          <w:i/>
          <w:iCs/>
        </w:rPr>
        <w:t xml:space="preserve"> to incorporate electric vehicle</w:t>
      </w:r>
      <w:r w:rsidR="002D08A0">
        <w:rPr>
          <w:i/>
          <w:iCs/>
        </w:rPr>
        <w:t xml:space="preserve"> or other clean energy</w:t>
      </w:r>
      <w:r w:rsidR="00F869A0" w:rsidRPr="00157F36">
        <w:rPr>
          <w:i/>
          <w:iCs/>
        </w:rPr>
        <w:t xml:space="preserve"> infrastructure </w:t>
      </w:r>
      <w:r w:rsidR="002D08A0">
        <w:rPr>
          <w:i/>
          <w:iCs/>
        </w:rPr>
        <w:t>throughout Douglas County in preparation for a future fleet</w:t>
      </w:r>
      <w:r w:rsidR="00185A3B" w:rsidRPr="00157F36">
        <w:rPr>
          <w:i/>
          <w:iCs/>
        </w:rPr>
        <w:t xml:space="preserve">. </w:t>
      </w:r>
    </w:p>
    <w:p w14:paraId="0954363D" w14:textId="462275F4" w:rsidR="00CA48EA" w:rsidRPr="00421844" w:rsidRDefault="00FB309D" w:rsidP="00145B5C">
      <w:pPr>
        <w:pStyle w:val="Bullet2"/>
        <w:rPr>
          <w:i/>
          <w:iCs/>
        </w:rPr>
      </w:pPr>
      <w:r w:rsidRPr="000D284E">
        <w:rPr>
          <w:i/>
          <w:iCs/>
        </w:rPr>
        <w:t>Practic</w:t>
      </w:r>
      <w:r>
        <w:rPr>
          <w:i/>
          <w:iCs/>
        </w:rPr>
        <w:t xml:space="preserve">e: </w:t>
      </w:r>
      <w:r w:rsidR="002D08A0">
        <w:rPr>
          <w:i/>
          <w:iCs/>
        </w:rPr>
        <w:t>Monitor opportunities for new grant sources and new local funding sources</w:t>
      </w:r>
      <w:r w:rsidR="008B25C9">
        <w:rPr>
          <w:i/>
          <w:iCs/>
        </w:rPr>
        <w:t>, such as an employer tax, bonds, or other new sources</w:t>
      </w:r>
      <w:r w:rsidR="00F869A0" w:rsidRPr="00157F36">
        <w:rPr>
          <w:i/>
          <w:iCs/>
        </w:rPr>
        <w:t xml:space="preserve">. </w:t>
      </w:r>
    </w:p>
    <w:sectPr w:rsidR="00CA48EA" w:rsidRPr="00421844" w:rsidSect="00623771">
      <w:headerReference w:type="default" r:id="rId14"/>
      <w:footerReference w:type="default" r:id="rId15"/>
      <w:pgSz w:w="12240" w:h="15840"/>
      <w:pgMar w:top="1440"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2831" w14:textId="77777777" w:rsidR="00BE710B" w:rsidRDefault="00BE710B" w:rsidP="000327A1">
      <w:pPr>
        <w:spacing w:after="0" w:line="240" w:lineRule="auto"/>
      </w:pPr>
      <w:r>
        <w:separator/>
      </w:r>
    </w:p>
  </w:endnote>
  <w:endnote w:type="continuationSeparator" w:id="0">
    <w:p w14:paraId="7BDCB219" w14:textId="77777777" w:rsidR="00BE710B" w:rsidRDefault="00BE710B" w:rsidP="0003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556A" w14:textId="58B21A15" w:rsidR="00BB37B8" w:rsidRPr="00345CD8" w:rsidRDefault="00BB37B8" w:rsidP="00345CD8">
    <w:pPr>
      <w:pStyle w:val="Footer1"/>
    </w:pPr>
    <w:r w:rsidRPr="00345CD8">
      <w:t xml:space="preserve">Page </w:t>
    </w:r>
    <w:r w:rsidR="0075421E" w:rsidRPr="00345CD8">
      <w:fldChar w:fldCharType="begin"/>
    </w:r>
    <w:r w:rsidR="0075421E" w:rsidRPr="00345CD8">
      <w:instrText xml:space="preserve"> PAGE   \* MERGEFORMAT </w:instrText>
    </w:r>
    <w:r w:rsidR="0075421E" w:rsidRPr="00345CD8">
      <w:fldChar w:fldCharType="separate"/>
    </w:r>
    <w:r w:rsidR="002477D2" w:rsidRPr="00345CD8">
      <w:t>1</w:t>
    </w:r>
    <w:r w:rsidR="0075421E" w:rsidRPr="00345C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2982" w14:textId="77777777" w:rsidR="00BE710B" w:rsidRDefault="00BE710B" w:rsidP="000327A1">
      <w:pPr>
        <w:spacing w:after="0" w:line="240" w:lineRule="auto"/>
      </w:pPr>
      <w:r>
        <w:separator/>
      </w:r>
    </w:p>
  </w:footnote>
  <w:footnote w:type="continuationSeparator" w:id="0">
    <w:p w14:paraId="0B5A8BF9" w14:textId="77777777" w:rsidR="00BE710B" w:rsidRDefault="00BE710B" w:rsidP="0003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7C68" w14:textId="16179D72" w:rsidR="00BB37B8" w:rsidRDefault="00E37ABF" w:rsidP="00774866">
    <w:pPr>
      <w:pStyle w:val="Header"/>
      <w:pBdr>
        <w:bottom w:val="single" w:sz="12" w:space="1" w:color="808080" w:themeColor="background1" w:themeShade="80"/>
      </w:pBdr>
      <w:tabs>
        <w:tab w:val="clear" w:pos="4680"/>
        <w:tab w:val="clear" w:pos="9360"/>
        <w:tab w:val="right" w:pos="10080"/>
      </w:tabs>
    </w:pPr>
    <w:r>
      <w:t>Task 3 Project Website Content</w:t>
    </w:r>
    <w:r w:rsidR="00BB37B8">
      <w:tab/>
    </w:r>
    <w:r w:rsidR="00D52FE5">
      <w:t>UPTD Transit Master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8B0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EA42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4D8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6ED6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E2F7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8C9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3433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892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E61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C4F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37F0"/>
    <w:multiLevelType w:val="multilevel"/>
    <w:tmpl w:val="49884514"/>
    <w:lvl w:ilvl="0">
      <w:start w:val="1"/>
      <w:numFmt w:val="bullet"/>
      <w:lvlText w:val=""/>
      <w:lvlJc w:val="left"/>
      <w:pPr>
        <w:ind w:left="576" w:hanging="360"/>
      </w:pPr>
      <w:rPr>
        <w:rFonts w:ascii="Symbol" w:hAnsi="Symbol" w:hint="default"/>
        <w:color w:val="96C84D"/>
        <w:sz w:val="2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684AF9"/>
    <w:multiLevelType w:val="hybridMultilevel"/>
    <w:tmpl w:val="031E07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04A270C3"/>
    <w:multiLevelType w:val="hybridMultilevel"/>
    <w:tmpl w:val="52DE5FFA"/>
    <w:lvl w:ilvl="0" w:tplc="F67A3AE2">
      <w:start w:val="1"/>
      <w:numFmt w:val="upperLetter"/>
      <w:lvlText w:val="%1."/>
      <w:lvlJc w:val="left"/>
      <w:pPr>
        <w:ind w:left="9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D56426"/>
    <w:multiLevelType w:val="hybridMultilevel"/>
    <w:tmpl w:val="29E49738"/>
    <w:lvl w:ilvl="0" w:tplc="1098E704">
      <w:start w:val="1"/>
      <w:numFmt w:val="upperLetter"/>
      <w:pStyle w:val="LetteredList"/>
      <w:lvlText w:val="%1."/>
      <w:lvlJc w:val="left"/>
      <w:pPr>
        <w:ind w:left="720" w:hanging="360"/>
      </w:pPr>
      <w:rPr>
        <w:rFonts w:hint="default"/>
        <w:color w:val="0084C8" w:themeColor="accent2"/>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99309F"/>
    <w:multiLevelType w:val="hybridMultilevel"/>
    <w:tmpl w:val="E960C668"/>
    <w:lvl w:ilvl="0" w:tplc="146AAE4A">
      <w:start w:val="1999"/>
      <w:numFmt w:val="bullet"/>
      <w:pStyle w:val="Bullet1"/>
      <w:lvlText w:val=""/>
      <w:lvlJc w:val="left"/>
      <w:pPr>
        <w:ind w:left="576" w:hanging="360"/>
      </w:pPr>
      <w:rPr>
        <w:rFonts w:ascii="Wingdings" w:hAnsi="Wingdings" w:cstheme="minorBidi" w:hint="default"/>
        <w:color w:val="3B7C42" w:themeColor="accent3"/>
        <w:sz w:val="12"/>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927E6"/>
    <w:multiLevelType w:val="hybridMultilevel"/>
    <w:tmpl w:val="F44C9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931AD"/>
    <w:multiLevelType w:val="hybridMultilevel"/>
    <w:tmpl w:val="70DC41AE"/>
    <w:lvl w:ilvl="0" w:tplc="F67A3AE2">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2EBA5E52"/>
    <w:multiLevelType w:val="hybridMultilevel"/>
    <w:tmpl w:val="4E849A40"/>
    <w:lvl w:ilvl="0" w:tplc="0F5A4BCA">
      <w:start w:val="1"/>
      <w:numFmt w:val="bullet"/>
      <w:lvlText w:val=""/>
      <w:lvlJc w:val="left"/>
      <w:pPr>
        <w:tabs>
          <w:tab w:val="num" w:pos="720"/>
        </w:tabs>
        <w:ind w:left="720" w:hanging="360"/>
      </w:pPr>
      <w:rPr>
        <w:rFonts w:ascii="Webdings" w:hAnsi="Webdings" w:hint="default"/>
      </w:rPr>
    </w:lvl>
    <w:lvl w:ilvl="1" w:tplc="02AE4DFE" w:tentative="1">
      <w:start w:val="1"/>
      <w:numFmt w:val="bullet"/>
      <w:lvlText w:val=""/>
      <w:lvlJc w:val="left"/>
      <w:pPr>
        <w:tabs>
          <w:tab w:val="num" w:pos="1440"/>
        </w:tabs>
        <w:ind w:left="1440" w:hanging="360"/>
      </w:pPr>
      <w:rPr>
        <w:rFonts w:ascii="Webdings" w:hAnsi="Webdings" w:hint="default"/>
      </w:rPr>
    </w:lvl>
    <w:lvl w:ilvl="2" w:tplc="96746BC2" w:tentative="1">
      <w:start w:val="1"/>
      <w:numFmt w:val="bullet"/>
      <w:lvlText w:val=""/>
      <w:lvlJc w:val="left"/>
      <w:pPr>
        <w:tabs>
          <w:tab w:val="num" w:pos="2160"/>
        </w:tabs>
        <w:ind w:left="2160" w:hanging="360"/>
      </w:pPr>
      <w:rPr>
        <w:rFonts w:ascii="Webdings" w:hAnsi="Webdings" w:hint="default"/>
      </w:rPr>
    </w:lvl>
    <w:lvl w:ilvl="3" w:tplc="5A9C9800" w:tentative="1">
      <w:start w:val="1"/>
      <w:numFmt w:val="bullet"/>
      <w:lvlText w:val=""/>
      <w:lvlJc w:val="left"/>
      <w:pPr>
        <w:tabs>
          <w:tab w:val="num" w:pos="2880"/>
        </w:tabs>
        <w:ind w:left="2880" w:hanging="360"/>
      </w:pPr>
      <w:rPr>
        <w:rFonts w:ascii="Webdings" w:hAnsi="Webdings" w:hint="default"/>
      </w:rPr>
    </w:lvl>
    <w:lvl w:ilvl="4" w:tplc="A7F4D116" w:tentative="1">
      <w:start w:val="1"/>
      <w:numFmt w:val="bullet"/>
      <w:lvlText w:val=""/>
      <w:lvlJc w:val="left"/>
      <w:pPr>
        <w:tabs>
          <w:tab w:val="num" w:pos="3600"/>
        </w:tabs>
        <w:ind w:left="3600" w:hanging="360"/>
      </w:pPr>
      <w:rPr>
        <w:rFonts w:ascii="Webdings" w:hAnsi="Webdings" w:hint="default"/>
      </w:rPr>
    </w:lvl>
    <w:lvl w:ilvl="5" w:tplc="D67A9B92" w:tentative="1">
      <w:start w:val="1"/>
      <w:numFmt w:val="bullet"/>
      <w:lvlText w:val=""/>
      <w:lvlJc w:val="left"/>
      <w:pPr>
        <w:tabs>
          <w:tab w:val="num" w:pos="4320"/>
        </w:tabs>
        <w:ind w:left="4320" w:hanging="360"/>
      </w:pPr>
      <w:rPr>
        <w:rFonts w:ascii="Webdings" w:hAnsi="Webdings" w:hint="default"/>
      </w:rPr>
    </w:lvl>
    <w:lvl w:ilvl="6" w:tplc="B2F6F614" w:tentative="1">
      <w:start w:val="1"/>
      <w:numFmt w:val="bullet"/>
      <w:lvlText w:val=""/>
      <w:lvlJc w:val="left"/>
      <w:pPr>
        <w:tabs>
          <w:tab w:val="num" w:pos="5040"/>
        </w:tabs>
        <w:ind w:left="5040" w:hanging="360"/>
      </w:pPr>
      <w:rPr>
        <w:rFonts w:ascii="Webdings" w:hAnsi="Webdings" w:hint="default"/>
      </w:rPr>
    </w:lvl>
    <w:lvl w:ilvl="7" w:tplc="23641E0C" w:tentative="1">
      <w:start w:val="1"/>
      <w:numFmt w:val="bullet"/>
      <w:lvlText w:val=""/>
      <w:lvlJc w:val="left"/>
      <w:pPr>
        <w:tabs>
          <w:tab w:val="num" w:pos="5760"/>
        </w:tabs>
        <w:ind w:left="5760" w:hanging="360"/>
      </w:pPr>
      <w:rPr>
        <w:rFonts w:ascii="Webdings" w:hAnsi="Webdings" w:hint="default"/>
      </w:rPr>
    </w:lvl>
    <w:lvl w:ilvl="8" w:tplc="1E9C9508" w:tentative="1">
      <w:start w:val="1"/>
      <w:numFmt w:val="bullet"/>
      <w:lvlText w:val=""/>
      <w:lvlJc w:val="left"/>
      <w:pPr>
        <w:tabs>
          <w:tab w:val="num" w:pos="6480"/>
        </w:tabs>
        <w:ind w:left="6480" w:hanging="360"/>
      </w:pPr>
      <w:rPr>
        <w:rFonts w:ascii="Webdings" w:hAnsi="Webdings" w:hint="default"/>
      </w:rPr>
    </w:lvl>
  </w:abstractNum>
  <w:abstractNum w:abstractNumId="18" w15:restartNumberingAfterBreak="0">
    <w:nsid w:val="37E169ED"/>
    <w:multiLevelType w:val="multilevel"/>
    <w:tmpl w:val="4D7AA4D8"/>
    <w:lvl w:ilvl="0">
      <w:start w:val="1"/>
      <w:numFmt w:val="bullet"/>
      <w:lvlText w:val=""/>
      <w:lvlJc w:val="left"/>
      <w:pPr>
        <w:ind w:left="576" w:hanging="360"/>
      </w:pPr>
      <w:rPr>
        <w:rFonts w:ascii="Symbol" w:hAnsi="Symbol" w:hint="default"/>
        <w:color w:val="96C84D"/>
        <w:sz w:val="22"/>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9E6BC7"/>
    <w:multiLevelType w:val="hybridMultilevel"/>
    <w:tmpl w:val="031ED060"/>
    <w:lvl w:ilvl="0" w:tplc="B0B6A5E8">
      <w:start w:val="1"/>
      <w:numFmt w:val="bullet"/>
      <w:pStyle w:val="Bullet1last"/>
      <w:lvlText w:val="»"/>
      <w:lvlJc w:val="left"/>
      <w:pPr>
        <w:ind w:left="630" w:hanging="360"/>
      </w:pPr>
      <w:rPr>
        <w:rFonts w:ascii="Century Gothic" w:hAnsi="Century Gothic" w:hint="default"/>
        <w:color w:val="3B7C42" w:themeColor="accent3"/>
        <w:sz w:val="20"/>
      </w:rPr>
    </w:lvl>
    <w:lvl w:ilvl="1" w:tplc="78E2F5AE">
      <w:start w:val="1"/>
      <w:numFmt w:val="bullet"/>
      <w:lvlText w:val=""/>
      <w:lvlJc w:val="left"/>
      <w:pPr>
        <w:ind w:left="1800" w:hanging="360"/>
      </w:pPr>
      <w:rPr>
        <w:rFonts w:ascii="Wingdings" w:hAnsi="Wingdings" w:hint="default"/>
        <w:color w:val="578DD5" w:themeColor="accent1" w:themeTint="99"/>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452E1E"/>
    <w:multiLevelType w:val="hybridMultilevel"/>
    <w:tmpl w:val="03F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C1433"/>
    <w:multiLevelType w:val="multilevel"/>
    <w:tmpl w:val="29D8B004"/>
    <w:lvl w:ilvl="0">
      <w:start w:val="1"/>
      <w:numFmt w:val="bullet"/>
      <w:lvlText w:val=""/>
      <w:lvlJc w:val="left"/>
      <w:pPr>
        <w:ind w:left="684" w:hanging="360"/>
      </w:pPr>
      <w:rPr>
        <w:rFonts w:ascii="Symbol" w:hAnsi="Symbol" w:hint="default"/>
        <w:color w:val="0084C8" w:themeColor="accent2"/>
        <w:sz w:val="2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E933F8"/>
    <w:multiLevelType w:val="hybridMultilevel"/>
    <w:tmpl w:val="00B457DA"/>
    <w:lvl w:ilvl="0" w:tplc="755CDC74">
      <w:start w:val="1"/>
      <w:numFmt w:val="bullet"/>
      <w:pStyle w:val="Bullet3"/>
      <w:lvlText w:val=""/>
      <w:lvlJc w:val="left"/>
      <w:pPr>
        <w:ind w:left="1728" w:hanging="360"/>
      </w:pPr>
      <w:rPr>
        <w:rFonts w:ascii="Wingdings" w:hAnsi="Wingdings" w:hint="default"/>
        <w:color w:val="0084C8" w:themeColor="accent2"/>
        <w:sz w:val="16"/>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6ED81E5E"/>
    <w:multiLevelType w:val="hybridMultilevel"/>
    <w:tmpl w:val="4028C372"/>
    <w:lvl w:ilvl="0" w:tplc="AFB8A0E6">
      <w:start w:val="1"/>
      <w:numFmt w:val="bullet"/>
      <w:pStyle w:val="Bullet2"/>
      <w:lvlText w:val=""/>
      <w:lvlJc w:val="left"/>
      <w:pPr>
        <w:ind w:left="1152" w:hanging="360"/>
      </w:pPr>
      <w:rPr>
        <w:rFonts w:ascii="Wingdings" w:hAnsi="Wingdings" w:hint="default"/>
        <w:color w:val="808080" w:themeColor="background1" w:themeShade="80"/>
        <w:sz w:val="1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716321F1"/>
    <w:multiLevelType w:val="hybridMultilevel"/>
    <w:tmpl w:val="9B5E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90594"/>
    <w:multiLevelType w:val="multilevel"/>
    <w:tmpl w:val="AFE46F8C"/>
    <w:lvl w:ilvl="0">
      <w:start w:val="1"/>
      <w:numFmt w:val="bullet"/>
      <w:lvlText w:val=""/>
      <w:lvlJc w:val="left"/>
      <w:pPr>
        <w:ind w:left="576" w:hanging="360"/>
      </w:pPr>
      <w:rPr>
        <w:rFonts w:ascii="Wingdings" w:hAnsi="Wingdings" w:hint="default"/>
        <w:color w:val="96C84D"/>
        <w:sz w:val="2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8A4AEB"/>
    <w:multiLevelType w:val="hybridMultilevel"/>
    <w:tmpl w:val="AF9A27E6"/>
    <w:lvl w:ilvl="0" w:tplc="05E0BBB8">
      <w:start w:val="1"/>
      <w:numFmt w:val="bullet"/>
      <w:lvlText w:val=""/>
      <w:lvlJc w:val="left"/>
      <w:pPr>
        <w:tabs>
          <w:tab w:val="num" w:pos="720"/>
        </w:tabs>
        <w:ind w:left="720" w:hanging="360"/>
      </w:pPr>
      <w:rPr>
        <w:rFonts w:ascii="Webdings" w:hAnsi="Webdings" w:hint="default"/>
      </w:rPr>
    </w:lvl>
    <w:lvl w:ilvl="1" w:tplc="2BB8880E" w:tentative="1">
      <w:start w:val="1"/>
      <w:numFmt w:val="bullet"/>
      <w:lvlText w:val=""/>
      <w:lvlJc w:val="left"/>
      <w:pPr>
        <w:tabs>
          <w:tab w:val="num" w:pos="1440"/>
        </w:tabs>
        <w:ind w:left="1440" w:hanging="360"/>
      </w:pPr>
      <w:rPr>
        <w:rFonts w:ascii="Webdings" w:hAnsi="Webdings" w:hint="default"/>
      </w:rPr>
    </w:lvl>
    <w:lvl w:ilvl="2" w:tplc="0082F446" w:tentative="1">
      <w:start w:val="1"/>
      <w:numFmt w:val="bullet"/>
      <w:lvlText w:val=""/>
      <w:lvlJc w:val="left"/>
      <w:pPr>
        <w:tabs>
          <w:tab w:val="num" w:pos="2160"/>
        </w:tabs>
        <w:ind w:left="2160" w:hanging="360"/>
      </w:pPr>
      <w:rPr>
        <w:rFonts w:ascii="Webdings" w:hAnsi="Webdings" w:hint="default"/>
      </w:rPr>
    </w:lvl>
    <w:lvl w:ilvl="3" w:tplc="A574ED6E" w:tentative="1">
      <w:start w:val="1"/>
      <w:numFmt w:val="bullet"/>
      <w:lvlText w:val=""/>
      <w:lvlJc w:val="left"/>
      <w:pPr>
        <w:tabs>
          <w:tab w:val="num" w:pos="2880"/>
        </w:tabs>
        <w:ind w:left="2880" w:hanging="360"/>
      </w:pPr>
      <w:rPr>
        <w:rFonts w:ascii="Webdings" w:hAnsi="Webdings" w:hint="default"/>
      </w:rPr>
    </w:lvl>
    <w:lvl w:ilvl="4" w:tplc="3B4A1612" w:tentative="1">
      <w:start w:val="1"/>
      <w:numFmt w:val="bullet"/>
      <w:lvlText w:val=""/>
      <w:lvlJc w:val="left"/>
      <w:pPr>
        <w:tabs>
          <w:tab w:val="num" w:pos="3600"/>
        </w:tabs>
        <w:ind w:left="3600" w:hanging="360"/>
      </w:pPr>
      <w:rPr>
        <w:rFonts w:ascii="Webdings" w:hAnsi="Webdings" w:hint="default"/>
      </w:rPr>
    </w:lvl>
    <w:lvl w:ilvl="5" w:tplc="0FF69836" w:tentative="1">
      <w:start w:val="1"/>
      <w:numFmt w:val="bullet"/>
      <w:lvlText w:val=""/>
      <w:lvlJc w:val="left"/>
      <w:pPr>
        <w:tabs>
          <w:tab w:val="num" w:pos="4320"/>
        </w:tabs>
        <w:ind w:left="4320" w:hanging="360"/>
      </w:pPr>
      <w:rPr>
        <w:rFonts w:ascii="Webdings" w:hAnsi="Webdings" w:hint="default"/>
      </w:rPr>
    </w:lvl>
    <w:lvl w:ilvl="6" w:tplc="D638E3CC" w:tentative="1">
      <w:start w:val="1"/>
      <w:numFmt w:val="bullet"/>
      <w:lvlText w:val=""/>
      <w:lvlJc w:val="left"/>
      <w:pPr>
        <w:tabs>
          <w:tab w:val="num" w:pos="5040"/>
        </w:tabs>
        <w:ind w:left="5040" w:hanging="360"/>
      </w:pPr>
      <w:rPr>
        <w:rFonts w:ascii="Webdings" w:hAnsi="Webdings" w:hint="default"/>
      </w:rPr>
    </w:lvl>
    <w:lvl w:ilvl="7" w:tplc="9B0E0EDA" w:tentative="1">
      <w:start w:val="1"/>
      <w:numFmt w:val="bullet"/>
      <w:lvlText w:val=""/>
      <w:lvlJc w:val="left"/>
      <w:pPr>
        <w:tabs>
          <w:tab w:val="num" w:pos="5760"/>
        </w:tabs>
        <w:ind w:left="5760" w:hanging="360"/>
      </w:pPr>
      <w:rPr>
        <w:rFonts w:ascii="Webdings" w:hAnsi="Webdings" w:hint="default"/>
      </w:rPr>
    </w:lvl>
    <w:lvl w:ilvl="8" w:tplc="0C9CF6FC" w:tentative="1">
      <w:start w:val="1"/>
      <w:numFmt w:val="bullet"/>
      <w:lvlText w:val=""/>
      <w:lvlJc w:val="left"/>
      <w:pPr>
        <w:tabs>
          <w:tab w:val="num" w:pos="6480"/>
        </w:tabs>
        <w:ind w:left="6480" w:hanging="360"/>
      </w:pPr>
      <w:rPr>
        <w:rFonts w:ascii="Webdings" w:hAnsi="Webdings" w:hint="default"/>
      </w:rPr>
    </w:lvl>
  </w:abstractNum>
  <w:num w:numId="1">
    <w:abstractNumId w:val="14"/>
  </w:num>
  <w:num w:numId="2">
    <w:abstractNumId w:val="21"/>
  </w:num>
  <w:num w:numId="3">
    <w:abstractNumId w:val="10"/>
  </w:num>
  <w:num w:numId="4">
    <w:abstractNumId w:val="18"/>
  </w:num>
  <w:num w:numId="5">
    <w:abstractNumId w:val="25"/>
  </w:num>
  <w:num w:numId="6">
    <w:abstractNumId w:val="5"/>
  </w:num>
  <w:num w:numId="7">
    <w:abstractNumId w:val="4"/>
  </w:num>
  <w:num w:numId="8">
    <w:abstractNumId w:val="9"/>
  </w:num>
  <w:num w:numId="9">
    <w:abstractNumId w:val="7"/>
  </w:num>
  <w:num w:numId="10">
    <w:abstractNumId w:val="6"/>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4"/>
  </w:num>
  <w:num w:numId="22">
    <w:abstractNumId w:val="14"/>
  </w:num>
  <w:num w:numId="23">
    <w:abstractNumId w:val="14"/>
  </w:num>
  <w:num w:numId="24">
    <w:abstractNumId w:val="14"/>
  </w:num>
  <w:num w:numId="25">
    <w:abstractNumId w:val="14"/>
  </w:num>
  <w:num w:numId="26">
    <w:abstractNumId w:val="14"/>
  </w:num>
  <w:num w:numId="27">
    <w:abstractNumId w:val="16"/>
  </w:num>
  <w:num w:numId="28">
    <w:abstractNumId w:val="12"/>
  </w:num>
  <w:num w:numId="29">
    <w:abstractNumId w:val="15"/>
  </w:num>
  <w:num w:numId="30">
    <w:abstractNumId w:val="13"/>
    <w:lvlOverride w:ilvl="0">
      <w:startOverride w:val="1"/>
    </w:lvlOverride>
  </w:num>
  <w:num w:numId="31">
    <w:abstractNumId w:val="14"/>
  </w:num>
  <w:num w:numId="32">
    <w:abstractNumId w:val="14"/>
  </w:num>
  <w:num w:numId="33">
    <w:abstractNumId w:val="14"/>
  </w:num>
  <w:num w:numId="34">
    <w:abstractNumId w:val="14"/>
  </w:num>
  <w:num w:numId="35">
    <w:abstractNumId w:val="20"/>
  </w:num>
  <w:num w:numId="36">
    <w:abstractNumId w:val="17"/>
  </w:num>
  <w:num w:numId="37">
    <w:abstractNumId w:val="26"/>
  </w:num>
  <w:num w:numId="38">
    <w:abstractNumId w:val="14"/>
  </w:num>
  <w:num w:numId="39">
    <w:abstractNumId w:val="22"/>
  </w:num>
  <w:num w:numId="4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6385">
      <o:colormru v:ext="edit" colors="#000005,#dcaa05,#498cb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A1"/>
    <w:rsid w:val="000327A1"/>
    <w:rsid w:val="0003437D"/>
    <w:rsid w:val="00035AC9"/>
    <w:rsid w:val="00066840"/>
    <w:rsid w:val="00070456"/>
    <w:rsid w:val="00076386"/>
    <w:rsid w:val="00076F12"/>
    <w:rsid w:val="000908AA"/>
    <w:rsid w:val="000A2F95"/>
    <w:rsid w:val="000B73DD"/>
    <w:rsid w:val="000C258C"/>
    <w:rsid w:val="000F6441"/>
    <w:rsid w:val="00145B5C"/>
    <w:rsid w:val="00157F36"/>
    <w:rsid w:val="00185A3B"/>
    <w:rsid w:val="00192D0B"/>
    <w:rsid w:val="00193A01"/>
    <w:rsid w:val="001C0EB6"/>
    <w:rsid w:val="001D30CF"/>
    <w:rsid w:val="002058C3"/>
    <w:rsid w:val="0021283E"/>
    <w:rsid w:val="00222E34"/>
    <w:rsid w:val="00224773"/>
    <w:rsid w:val="00232DF7"/>
    <w:rsid w:val="0024612C"/>
    <w:rsid w:val="002477D2"/>
    <w:rsid w:val="002516BA"/>
    <w:rsid w:val="00260147"/>
    <w:rsid w:val="002A4B6B"/>
    <w:rsid w:val="002D08A0"/>
    <w:rsid w:val="002E0CAF"/>
    <w:rsid w:val="002E6C48"/>
    <w:rsid w:val="00342CC6"/>
    <w:rsid w:val="00344FB2"/>
    <w:rsid w:val="00345CD8"/>
    <w:rsid w:val="00346475"/>
    <w:rsid w:val="00357D9D"/>
    <w:rsid w:val="003C436C"/>
    <w:rsid w:val="003D12E7"/>
    <w:rsid w:val="00400E9E"/>
    <w:rsid w:val="00410325"/>
    <w:rsid w:val="00421844"/>
    <w:rsid w:val="004251D5"/>
    <w:rsid w:val="004514AA"/>
    <w:rsid w:val="004627C8"/>
    <w:rsid w:val="004806AD"/>
    <w:rsid w:val="00485C76"/>
    <w:rsid w:val="004A01A1"/>
    <w:rsid w:val="004B384B"/>
    <w:rsid w:val="004B393E"/>
    <w:rsid w:val="004B633C"/>
    <w:rsid w:val="004D106E"/>
    <w:rsid w:val="004F71F1"/>
    <w:rsid w:val="00512556"/>
    <w:rsid w:val="0056359F"/>
    <w:rsid w:val="0056659F"/>
    <w:rsid w:val="005A60F3"/>
    <w:rsid w:val="005C314D"/>
    <w:rsid w:val="005C786C"/>
    <w:rsid w:val="005E3C57"/>
    <w:rsid w:val="006175BD"/>
    <w:rsid w:val="00623771"/>
    <w:rsid w:val="006A0A8E"/>
    <w:rsid w:val="006C17B5"/>
    <w:rsid w:val="006F2EB9"/>
    <w:rsid w:val="00725D82"/>
    <w:rsid w:val="00736103"/>
    <w:rsid w:val="007506E1"/>
    <w:rsid w:val="0075421E"/>
    <w:rsid w:val="00762C7A"/>
    <w:rsid w:val="00774866"/>
    <w:rsid w:val="00790213"/>
    <w:rsid w:val="00835FB1"/>
    <w:rsid w:val="00854AE0"/>
    <w:rsid w:val="0087672A"/>
    <w:rsid w:val="008868D2"/>
    <w:rsid w:val="008B25C9"/>
    <w:rsid w:val="008D0ECF"/>
    <w:rsid w:val="008F1CE0"/>
    <w:rsid w:val="008F2C4C"/>
    <w:rsid w:val="009031E2"/>
    <w:rsid w:val="00911296"/>
    <w:rsid w:val="00930059"/>
    <w:rsid w:val="00946BB8"/>
    <w:rsid w:val="00965EB7"/>
    <w:rsid w:val="00976250"/>
    <w:rsid w:val="00987D5F"/>
    <w:rsid w:val="009D6273"/>
    <w:rsid w:val="00A30398"/>
    <w:rsid w:val="00A42FA4"/>
    <w:rsid w:val="00A617DC"/>
    <w:rsid w:val="00A702D9"/>
    <w:rsid w:val="00A86CFB"/>
    <w:rsid w:val="00AA27C0"/>
    <w:rsid w:val="00AC00D4"/>
    <w:rsid w:val="00AC6EA7"/>
    <w:rsid w:val="00AE0CAF"/>
    <w:rsid w:val="00AE4CDF"/>
    <w:rsid w:val="00AE79AA"/>
    <w:rsid w:val="00B246DB"/>
    <w:rsid w:val="00B25FAD"/>
    <w:rsid w:val="00B3076E"/>
    <w:rsid w:val="00BB044D"/>
    <w:rsid w:val="00BB37B8"/>
    <w:rsid w:val="00BE019B"/>
    <w:rsid w:val="00BE710B"/>
    <w:rsid w:val="00C164D2"/>
    <w:rsid w:val="00C21390"/>
    <w:rsid w:val="00C24C3B"/>
    <w:rsid w:val="00C279E0"/>
    <w:rsid w:val="00C357F7"/>
    <w:rsid w:val="00C5087C"/>
    <w:rsid w:val="00C64BA7"/>
    <w:rsid w:val="00C65E57"/>
    <w:rsid w:val="00C867CE"/>
    <w:rsid w:val="00C94FAB"/>
    <w:rsid w:val="00CA3A92"/>
    <w:rsid w:val="00CA48EA"/>
    <w:rsid w:val="00CC5ED7"/>
    <w:rsid w:val="00CD6093"/>
    <w:rsid w:val="00CE100C"/>
    <w:rsid w:val="00CE620A"/>
    <w:rsid w:val="00D00BE1"/>
    <w:rsid w:val="00D03D1E"/>
    <w:rsid w:val="00D048B8"/>
    <w:rsid w:val="00D363EE"/>
    <w:rsid w:val="00D410B1"/>
    <w:rsid w:val="00D52FE5"/>
    <w:rsid w:val="00D74D7C"/>
    <w:rsid w:val="00DB6CD3"/>
    <w:rsid w:val="00DD2591"/>
    <w:rsid w:val="00E04B6D"/>
    <w:rsid w:val="00E063C1"/>
    <w:rsid w:val="00E22B9C"/>
    <w:rsid w:val="00E37ABF"/>
    <w:rsid w:val="00E52C21"/>
    <w:rsid w:val="00E56CAC"/>
    <w:rsid w:val="00E61585"/>
    <w:rsid w:val="00E9396D"/>
    <w:rsid w:val="00EA19C1"/>
    <w:rsid w:val="00EB2384"/>
    <w:rsid w:val="00EB25FE"/>
    <w:rsid w:val="00ED27D4"/>
    <w:rsid w:val="00EE3D30"/>
    <w:rsid w:val="00F057BC"/>
    <w:rsid w:val="00F545E8"/>
    <w:rsid w:val="00F67B27"/>
    <w:rsid w:val="00F869A0"/>
    <w:rsid w:val="00FB309D"/>
    <w:rsid w:val="00FC0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000005,#dcaa05,#498cbb"/>
    </o:shapedefaults>
    <o:shapelayout v:ext="edit">
      <o:idmap v:ext="edit" data="1"/>
    </o:shapelayout>
  </w:shapeDefaults>
  <w:decimalSymbol w:val="."/>
  <w:listSeparator w:val=","/>
  <w14:docId w14:val="132ADC25"/>
  <w15:docId w15:val="{4F7040A0-615E-4635-BA80-D26CBDD5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1D5"/>
    <w:pPr>
      <w:spacing w:after="120" w:line="276" w:lineRule="auto"/>
    </w:pPr>
    <w:rPr>
      <w:rFonts w:ascii="Century Gothic" w:hAnsi="Century Gothic"/>
      <w:sz w:val="20"/>
    </w:rPr>
  </w:style>
  <w:style w:type="paragraph" w:styleId="Heading1">
    <w:name w:val="heading 1"/>
    <w:basedOn w:val="Normal"/>
    <w:next w:val="Normal"/>
    <w:link w:val="Heading1Char"/>
    <w:uiPriority w:val="9"/>
    <w:qFormat/>
    <w:rsid w:val="00E52C21"/>
    <w:pPr>
      <w:keepNext/>
      <w:keepLines/>
      <w:pBdr>
        <w:bottom w:val="single" w:sz="12" w:space="1" w:color="808080" w:themeColor="background1" w:themeShade="80"/>
      </w:pBdr>
      <w:spacing w:before="320" w:after="200"/>
      <w:outlineLvl w:val="0"/>
    </w:pPr>
    <w:rPr>
      <w:rFonts w:eastAsiaTheme="majorEastAsia" w:cstheme="majorBidi"/>
      <w:b/>
      <w:bCs/>
      <w:caps/>
      <w:color w:val="3B7C42" w:themeColor="accent3"/>
      <w:sz w:val="36"/>
      <w:szCs w:val="28"/>
    </w:rPr>
  </w:style>
  <w:style w:type="paragraph" w:styleId="Heading2">
    <w:name w:val="heading 2"/>
    <w:basedOn w:val="Normal"/>
    <w:next w:val="Normal"/>
    <w:link w:val="Heading2Char"/>
    <w:uiPriority w:val="9"/>
    <w:unhideWhenUsed/>
    <w:qFormat/>
    <w:rsid w:val="00400E9E"/>
    <w:pPr>
      <w:keepNext/>
      <w:keepLines/>
      <w:spacing w:before="200" w:after="0"/>
      <w:outlineLvl w:val="1"/>
    </w:pPr>
    <w:rPr>
      <w:rFonts w:eastAsiaTheme="majorEastAsia" w:cstheme="majorBidi"/>
      <w:b/>
      <w:color w:val="204A80" w:themeColor="accent1"/>
      <w:sz w:val="24"/>
      <w:szCs w:val="26"/>
    </w:rPr>
  </w:style>
  <w:style w:type="paragraph" w:styleId="Heading3">
    <w:name w:val="heading 3"/>
    <w:basedOn w:val="Normal"/>
    <w:next w:val="Normal"/>
    <w:link w:val="Heading3Char"/>
    <w:uiPriority w:val="9"/>
    <w:unhideWhenUsed/>
    <w:qFormat/>
    <w:rsid w:val="00342CC6"/>
    <w:pPr>
      <w:keepNext/>
      <w:keepLines/>
      <w:spacing w:before="40" w:after="0"/>
      <w:outlineLvl w:val="2"/>
    </w:pPr>
    <w:rPr>
      <w:rFonts w:eastAsiaTheme="majorEastAsia" w:cstheme="majorBidi"/>
      <w:b/>
      <w:color w:val="808080" w:themeColor="background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1A1"/>
    <w:rPr>
      <w:rFonts w:ascii="Segoe UI" w:hAnsi="Segoe UI" w:cs="Segoe UI"/>
      <w:sz w:val="18"/>
      <w:szCs w:val="18"/>
    </w:rPr>
  </w:style>
  <w:style w:type="paragraph" w:customStyle="1" w:styleId="TemplateText">
    <w:name w:val="TemplateText"/>
    <w:basedOn w:val="Normal"/>
    <w:next w:val="Normal"/>
    <w:uiPriority w:val="1"/>
    <w:rsid w:val="004B633C"/>
    <w:pPr>
      <w:tabs>
        <w:tab w:val="right" w:pos="9360"/>
      </w:tabs>
      <w:spacing w:after="0"/>
    </w:pPr>
    <w:rPr>
      <w:rFonts w:eastAsia="Times New Roman" w:cs="Times New Roman"/>
      <w:szCs w:val="20"/>
    </w:rPr>
  </w:style>
  <w:style w:type="paragraph" w:customStyle="1" w:styleId="ProjectName">
    <w:name w:val="ProjectName"/>
    <w:basedOn w:val="Normal"/>
    <w:uiPriority w:val="1"/>
    <w:rsid w:val="004B633C"/>
    <w:pPr>
      <w:spacing w:after="0" w:line="320" w:lineRule="atLeast"/>
    </w:pPr>
    <w:rPr>
      <w:rFonts w:eastAsia="Times New Roman" w:cs="Times New Roman"/>
      <w:szCs w:val="20"/>
    </w:rPr>
  </w:style>
  <w:style w:type="paragraph" w:customStyle="1" w:styleId="Memoheading">
    <w:name w:val="Memo heading"/>
    <w:uiPriority w:val="2"/>
    <w:rsid w:val="00976250"/>
    <w:pPr>
      <w:spacing w:before="40"/>
      <w:jc w:val="right"/>
    </w:pPr>
    <w:rPr>
      <w:rFonts w:ascii="Century Gothic" w:eastAsia="Times New Roman" w:hAnsi="Century Gothic" w:cs="Times New Roman"/>
      <w:b/>
      <w:bCs/>
      <w:color w:val="204A80" w:themeColor="accent1"/>
      <w:sz w:val="18"/>
      <w:szCs w:val="20"/>
    </w:rPr>
  </w:style>
  <w:style w:type="paragraph" w:customStyle="1" w:styleId="MemoSubject">
    <w:name w:val="Memo Subject"/>
    <w:basedOn w:val="Normal"/>
    <w:uiPriority w:val="2"/>
    <w:rsid w:val="004B633C"/>
    <w:pPr>
      <w:tabs>
        <w:tab w:val="right" w:pos="9360"/>
      </w:tabs>
      <w:spacing w:after="0"/>
    </w:pPr>
    <w:rPr>
      <w:rFonts w:eastAsia="Times New Roman" w:cs="Times New Roman"/>
      <w:szCs w:val="20"/>
    </w:rPr>
  </w:style>
  <w:style w:type="paragraph" w:customStyle="1" w:styleId="MemorandumName">
    <w:name w:val="Memorandum Name"/>
    <w:qFormat/>
    <w:rsid w:val="00B246DB"/>
    <w:rPr>
      <w:rFonts w:ascii="Century Gothic" w:eastAsia="Times New Roman" w:hAnsi="Century Gothic" w:cs="Times New Roman"/>
      <w:b/>
      <w:bCs/>
      <w:caps/>
      <w:color w:val="204A80" w:themeColor="accent1"/>
      <w:sz w:val="44"/>
      <w:szCs w:val="32"/>
    </w:rPr>
  </w:style>
  <w:style w:type="character" w:customStyle="1" w:styleId="Heading1Char">
    <w:name w:val="Heading 1 Char"/>
    <w:basedOn w:val="DefaultParagraphFont"/>
    <w:link w:val="Heading1"/>
    <w:uiPriority w:val="9"/>
    <w:rsid w:val="00E52C21"/>
    <w:rPr>
      <w:rFonts w:ascii="Century Gothic" w:eastAsiaTheme="majorEastAsia" w:hAnsi="Century Gothic" w:cstheme="majorBidi"/>
      <w:b/>
      <w:bCs/>
      <w:caps/>
      <w:color w:val="3B7C42" w:themeColor="accent3"/>
      <w:sz w:val="36"/>
      <w:szCs w:val="28"/>
    </w:rPr>
  </w:style>
  <w:style w:type="character" w:customStyle="1" w:styleId="Heading2Char">
    <w:name w:val="Heading 2 Char"/>
    <w:basedOn w:val="DefaultParagraphFont"/>
    <w:link w:val="Heading2"/>
    <w:uiPriority w:val="9"/>
    <w:rsid w:val="00400E9E"/>
    <w:rPr>
      <w:rFonts w:ascii="Century Gothic" w:eastAsiaTheme="majorEastAsia" w:hAnsi="Century Gothic" w:cstheme="majorBidi"/>
      <w:b/>
      <w:color w:val="204A80" w:themeColor="accent1"/>
      <w:sz w:val="24"/>
      <w:szCs w:val="26"/>
    </w:rPr>
  </w:style>
  <w:style w:type="paragraph" w:customStyle="1" w:styleId="Bullet1">
    <w:name w:val="Bullet 1"/>
    <w:basedOn w:val="Normal"/>
    <w:link w:val="Bullet1Char"/>
    <w:qFormat/>
    <w:rsid w:val="00D00BE1"/>
    <w:pPr>
      <w:numPr>
        <w:numId w:val="1"/>
      </w:numPr>
      <w:spacing w:after="60"/>
    </w:pPr>
  </w:style>
  <w:style w:type="paragraph" w:customStyle="1" w:styleId="TableTextCenteredblack">
    <w:name w:val="Table Text Centered black"/>
    <w:basedOn w:val="Normal"/>
    <w:uiPriority w:val="2"/>
    <w:rsid w:val="007506E1"/>
    <w:pPr>
      <w:spacing w:before="40" w:after="40"/>
      <w:jc w:val="center"/>
    </w:pPr>
    <w:rPr>
      <w:sz w:val="18"/>
    </w:rPr>
  </w:style>
  <w:style w:type="paragraph" w:customStyle="1" w:styleId="Tabletitle">
    <w:name w:val="Table title"/>
    <w:basedOn w:val="Caption"/>
    <w:qFormat/>
    <w:rsid w:val="006A0A8E"/>
    <w:pPr>
      <w:tabs>
        <w:tab w:val="left" w:pos="864"/>
      </w:tabs>
      <w:spacing w:before="240"/>
      <w:ind w:left="864" w:hanging="864"/>
    </w:pPr>
    <w:rPr>
      <w:rFonts w:eastAsia="Times New Roman" w:cs="Times New Roman"/>
      <w:b w:val="0"/>
      <w:bCs/>
      <w:i/>
      <w:iCs w:val="0"/>
    </w:rPr>
  </w:style>
  <w:style w:type="paragraph" w:customStyle="1" w:styleId="TableHead">
    <w:name w:val="Table Head"/>
    <w:uiPriority w:val="2"/>
    <w:rsid w:val="00976250"/>
    <w:pPr>
      <w:keepNext/>
      <w:spacing w:before="80" w:after="40"/>
      <w:jc w:val="center"/>
    </w:pPr>
    <w:rPr>
      <w:rFonts w:ascii="Century Gothic" w:eastAsia="Times New Roman" w:hAnsi="Century Gothic" w:cs="Times New Roman"/>
      <w:b/>
      <w:snapToGrid w:val="0"/>
      <w:color w:val="FFFFFF" w:themeColor="background1"/>
      <w:kern w:val="22"/>
      <w:sz w:val="18"/>
      <w:szCs w:val="20"/>
    </w:rPr>
  </w:style>
  <w:style w:type="paragraph" w:customStyle="1" w:styleId="TableTextCenteredbold">
    <w:name w:val="Table Text Centered bold"/>
    <w:basedOn w:val="TableTextCenteredblack"/>
    <w:qFormat/>
    <w:rsid w:val="00AE4CDF"/>
    <w:pPr>
      <w:spacing w:after="0"/>
    </w:pPr>
    <w:rPr>
      <w:rFonts w:eastAsia="Times New Roman" w:cs="Times New Roman"/>
      <w:b/>
      <w:color w:val="FFFFFF" w:themeColor="background1"/>
      <w:szCs w:val="20"/>
    </w:rPr>
  </w:style>
  <w:style w:type="table" w:customStyle="1" w:styleId="GridTable5Dark-Accent11">
    <w:name w:val="Grid Table 5 Dark - Accent 11"/>
    <w:basedOn w:val="TableNormal"/>
    <w:uiPriority w:val="50"/>
    <w:rsid w:val="006C17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4A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4A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4A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4A80" w:themeFill="accent1"/>
      </w:tcPr>
    </w:tblStylePr>
    <w:tblStylePr w:type="band1Vert">
      <w:tblPr/>
      <w:tcPr>
        <w:shd w:val="clear" w:color="auto" w:fill="8FB3E3" w:themeFill="accent1" w:themeFillTint="66"/>
      </w:tcPr>
    </w:tblStylePr>
    <w:tblStylePr w:type="band1Horz">
      <w:tblPr/>
      <w:tcPr>
        <w:shd w:val="clear" w:color="auto" w:fill="8FB3E3" w:themeFill="accent1" w:themeFillTint="66"/>
      </w:tcPr>
    </w:tblStylePr>
  </w:style>
  <w:style w:type="paragraph" w:styleId="Caption">
    <w:name w:val="caption"/>
    <w:aliases w:val="table Caption"/>
    <w:basedOn w:val="Normal"/>
    <w:next w:val="Normal"/>
    <w:uiPriority w:val="35"/>
    <w:unhideWhenUsed/>
    <w:qFormat/>
    <w:rsid w:val="002058C3"/>
    <w:pPr>
      <w:keepNext/>
      <w:spacing w:line="240" w:lineRule="auto"/>
    </w:pPr>
    <w:rPr>
      <w:b/>
      <w:iCs/>
      <w:sz w:val="18"/>
      <w:szCs w:val="18"/>
    </w:rPr>
  </w:style>
  <w:style w:type="paragraph" w:styleId="Header">
    <w:name w:val="header"/>
    <w:basedOn w:val="Normal"/>
    <w:link w:val="HeaderChar"/>
    <w:uiPriority w:val="99"/>
    <w:unhideWhenUsed/>
    <w:rsid w:val="0003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1"/>
    <w:rPr>
      <w:rFonts w:ascii="Century Gothic" w:hAnsi="Century Gothic"/>
      <w:sz w:val="20"/>
    </w:rPr>
  </w:style>
  <w:style w:type="paragraph" w:styleId="Footer">
    <w:name w:val="footer"/>
    <w:basedOn w:val="Normal"/>
    <w:link w:val="FooterChar"/>
    <w:uiPriority w:val="99"/>
    <w:unhideWhenUsed/>
    <w:rsid w:val="0003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1"/>
    <w:rPr>
      <w:rFonts w:ascii="Century Gothic" w:hAnsi="Century Gothic"/>
      <w:sz w:val="20"/>
    </w:rPr>
  </w:style>
  <w:style w:type="paragraph" w:customStyle="1" w:styleId="Footer1">
    <w:name w:val="Footer1"/>
    <w:basedOn w:val="Footer"/>
    <w:link w:val="footerChar0"/>
    <w:qFormat/>
    <w:rsid w:val="00345CD8"/>
    <w:pPr>
      <w:pBdr>
        <w:top w:val="single" w:sz="12" w:space="1" w:color="808080" w:themeColor="background1" w:themeShade="80"/>
      </w:pBdr>
      <w:tabs>
        <w:tab w:val="clear" w:pos="4680"/>
        <w:tab w:val="clear" w:pos="9360"/>
        <w:tab w:val="left" w:pos="576"/>
        <w:tab w:val="center" w:pos="5040"/>
        <w:tab w:val="right" w:pos="9720"/>
      </w:tabs>
      <w:spacing w:before="120" w:after="120"/>
      <w:jc w:val="center"/>
    </w:pPr>
    <w:rPr>
      <w:rFonts w:eastAsiaTheme="minorEastAsia"/>
      <w:i/>
      <w:sz w:val="16"/>
      <w:szCs w:val="16"/>
      <w:lang w:eastAsia="ja-JP"/>
    </w:rPr>
  </w:style>
  <w:style w:type="character" w:customStyle="1" w:styleId="footerChar0">
    <w:name w:val="footer Char"/>
    <w:basedOn w:val="FooterChar"/>
    <w:link w:val="Footer1"/>
    <w:rsid w:val="00345CD8"/>
    <w:rPr>
      <w:rFonts w:ascii="Century Gothic" w:eastAsiaTheme="minorEastAsia" w:hAnsi="Century Gothic"/>
      <w:i/>
      <w:sz w:val="16"/>
      <w:szCs w:val="16"/>
      <w:lang w:eastAsia="ja-JP"/>
    </w:rPr>
  </w:style>
  <w:style w:type="paragraph" w:customStyle="1" w:styleId="Calloutboxtext">
    <w:name w:val="Callout box text"/>
    <w:basedOn w:val="Normal"/>
    <w:qFormat/>
    <w:rsid w:val="00AE0CAF"/>
    <w:rPr>
      <w:color w:val="0084C8" w:themeColor="accent2"/>
      <w:sz w:val="18"/>
    </w:rPr>
  </w:style>
  <w:style w:type="paragraph" w:customStyle="1" w:styleId="Calloutboxtitle">
    <w:name w:val="Callout box title"/>
    <w:basedOn w:val="Normal"/>
    <w:qFormat/>
    <w:rsid w:val="00AE0CAF"/>
    <w:pPr>
      <w:spacing w:after="0"/>
      <w:jc w:val="center"/>
    </w:pPr>
    <w:rPr>
      <w:rFonts w:eastAsiaTheme="majorEastAsia" w:cstheme="majorBidi"/>
      <w:b/>
      <w:color w:val="FFFFFF" w:themeColor="background1"/>
      <w:szCs w:val="28"/>
    </w:rPr>
  </w:style>
  <w:style w:type="character" w:styleId="Strong">
    <w:name w:val="Strong"/>
    <w:basedOn w:val="DefaultParagraphFont"/>
    <w:uiPriority w:val="22"/>
    <w:qFormat/>
    <w:rsid w:val="006A0A8E"/>
    <w:rPr>
      <w:b/>
      <w:bCs/>
    </w:rPr>
  </w:style>
  <w:style w:type="character" w:customStyle="1" w:styleId="Heading3Char">
    <w:name w:val="Heading 3 Char"/>
    <w:basedOn w:val="DefaultParagraphFont"/>
    <w:link w:val="Heading3"/>
    <w:uiPriority w:val="9"/>
    <w:rsid w:val="00342CC6"/>
    <w:rPr>
      <w:rFonts w:ascii="Century Gothic" w:eastAsiaTheme="majorEastAsia" w:hAnsi="Century Gothic" w:cstheme="majorBidi"/>
      <w:b/>
      <w:color w:val="808080" w:themeColor="background1" w:themeShade="80"/>
      <w:sz w:val="24"/>
      <w:szCs w:val="24"/>
    </w:rPr>
  </w:style>
  <w:style w:type="table" w:styleId="GridTable5Dark-Accent1">
    <w:name w:val="Grid Table 5 Dark Accent 1"/>
    <w:basedOn w:val="TableNormal"/>
    <w:uiPriority w:val="50"/>
    <w:rsid w:val="007542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4A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4A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4A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4A80" w:themeFill="accent1"/>
      </w:tcPr>
    </w:tblStylePr>
    <w:tblStylePr w:type="band1Vert">
      <w:tblPr/>
      <w:tcPr>
        <w:shd w:val="clear" w:color="auto" w:fill="8FB3E3" w:themeFill="accent1" w:themeFillTint="66"/>
      </w:tcPr>
    </w:tblStylePr>
    <w:tblStylePr w:type="band1Horz">
      <w:tblPr/>
      <w:tcPr>
        <w:shd w:val="clear" w:color="auto" w:fill="8FB3E3" w:themeFill="accent1" w:themeFillTint="66"/>
      </w:tcPr>
    </w:tblStylePr>
  </w:style>
  <w:style w:type="character" w:styleId="Hyperlink">
    <w:name w:val="Hyperlink"/>
    <w:basedOn w:val="DefaultParagraphFont"/>
    <w:uiPriority w:val="99"/>
    <w:unhideWhenUsed/>
    <w:rsid w:val="00F057BC"/>
    <w:rPr>
      <w:color w:val="BFBFBF" w:themeColor="hyperlink"/>
      <w:u w:val="single"/>
    </w:rPr>
  </w:style>
  <w:style w:type="paragraph" w:styleId="TOC1">
    <w:name w:val="toc 1"/>
    <w:basedOn w:val="Normal"/>
    <w:next w:val="Normal"/>
    <w:autoRedefine/>
    <w:uiPriority w:val="39"/>
    <w:unhideWhenUsed/>
    <w:rsid w:val="00F057BC"/>
    <w:pPr>
      <w:spacing w:after="100"/>
    </w:pPr>
  </w:style>
  <w:style w:type="paragraph" w:customStyle="1" w:styleId="tablenote">
    <w:name w:val="tablenote"/>
    <w:uiPriority w:val="2"/>
    <w:rsid w:val="00F057BC"/>
    <w:pPr>
      <w:spacing w:after="120"/>
    </w:pPr>
    <w:rPr>
      <w:rFonts w:ascii="Century Gothic" w:eastAsia="Times New Roman" w:hAnsi="Century Gothic" w:cs="Times New Roman"/>
      <w:kern w:val="22"/>
      <w:sz w:val="16"/>
      <w:szCs w:val="24"/>
    </w:rPr>
  </w:style>
  <w:style w:type="paragraph" w:customStyle="1" w:styleId="Bullet2">
    <w:name w:val="Bullet 2"/>
    <w:basedOn w:val="Bullet1"/>
    <w:qFormat/>
    <w:rsid w:val="00D00BE1"/>
    <w:pPr>
      <w:numPr>
        <w:numId w:val="16"/>
      </w:numPr>
    </w:pPr>
  </w:style>
  <w:style w:type="paragraph" w:customStyle="1" w:styleId="Bullet3">
    <w:name w:val="Bullet 3"/>
    <w:basedOn w:val="Bullet2"/>
    <w:qFormat/>
    <w:rsid w:val="004B384B"/>
    <w:pPr>
      <w:numPr>
        <w:numId w:val="17"/>
      </w:numPr>
    </w:pPr>
  </w:style>
  <w:style w:type="table" w:styleId="TableGrid">
    <w:name w:val="Table Grid"/>
    <w:basedOn w:val="TableNormal"/>
    <w:rsid w:val="0040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32DF7"/>
    <w:pPr>
      <w:spacing w:line="480" w:lineRule="auto"/>
    </w:pPr>
  </w:style>
  <w:style w:type="character" w:customStyle="1" w:styleId="BodyText2Char">
    <w:name w:val="Body Text 2 Char"/>
    <w:basedOn w:val="DefaultParagraphFont"/>
    <w:link w:val="BodyText2"/>
    <w:rsid w:val="00232DF7"/>
    <w:rPr>
      <w:rFonts w:ascii="Century Gothic" w:hAnsi="Century Gothic"/>
      <w:sz w:val="20"/>
    </w:rPr>
  </w:style>
  <w:style w:type="character" w:styleId="CommentReference">
    <w:name w:val="annotation reference"/>
    <w:basedOn w:val="DefaultParagraphFont"/>
    <w:uiPriority w:val="1"/>
    <w:unhideWhenUsed/>
    <w:rsid w:val="00835FB1"/>
    <w:rPr>
      <w:sz w:val="16"/>
      <w:szCs w:val="16"/>
    </w:rPr>
  </w:style>
  <w:style w:type="paragraph" w:styleId="CommentText">
    <w:name w:val="annotation text"/>
    <w:basedOn w:val="Normal"/>
    <w:link w:val="CommentTextChar"/>
    <w:uiPriority w:val="1"/>
    <w:unhideWhenUsed/>
    <w:rsid w:val="00835FB1"/>
    <w:pPr>
      <w:spacing w:line="240" w:lineRule="auto"/>
    </w:pPr>
    <w:rPr>
      <w:szCs w:val="20"/>
    </w:rPr>
  </w:style>
  <w:style w:type="character" w:customStyle="1" w:styleId="CommentTextChar">
    <w:name w:val="Comment Text Char"/>
    <w:basedOn w:val="DefaultParagraphFont"/>
    <w:link w:val="CommentText"/>
    <w:uiPriority w:val="1"/>
    <w:rsid w:val="00835FB1"/>
    <w:rPr>
      <w:rFonts w:ascii="Century Gothic" w:hAnsi="Century Gothic"/>
      <w:sz w:val="20"/>
      <w:szCs w:val="20"/>
    </w:rPr>
  </w:style>
  <w:style w:type="paragraph" w:styleId="CommentSubject">
    <w:name w:val="annotation subject"/>
    <w:basedOn w:val="CommentText"/>
    <w:next w:val="CommentText"/>
    <w:link w:val="CommentSubjectChar"/>
    <w:semiHidden/>
    <w:unhideWhenUsed/>
    <w:rsid w:val="00835FB1"/>
    <w:rPr>
      <w:b/>
      <w:bCs/>
    </w:rPr>
  </w:style>
  <w:style w:type="character" w:customStyle="1" w:styleId="CommentSubjectChar">
    <w:name w:val="Comment Subject Char"/>
    <w:basedOn w:val="CommentTextChar"/>
    <w:link w:val="CommentSubject"/>
    <w:semiHidden/>
    <w:rsid w:val="00835FB1"/>
    <w:rPr>
      <w:rFonts w:ascii="Century Gothic" w:hAnsi="Century Gothic"/>
      <w:b/>
      <w:bCs/>
      <w:sz w:val="20"/>
      <w:szCs w:val="20"/>
    </w:rPr>
  </w:style>
  <w:style w:type="paragraph" w:styleId="TOCHeading">
    <w:name w:val="TOC Heading"/>
    <w:basedOn w:val="Heading1"/>
    <w:next w:val="Normal"/>
    <w:uiPriority w:val="39"/>
    <w:unhideWhenUsed/>
    <w:qFormat/>
    <w:rsid w:val="00AE4CDF"/>
    <w:pPr>
      <w:pBdr>
        <w:bottom w:val="none" w:sz="0" w:space="0" w:color="auto"/>
      </w:pBdr>
      <w:spacing w:before="3440" w:after="0" w:line="259" w:lineRule="auto"/>
      <w:jc w:val="right"/>
      <w:outlineLvl w:val="9"/>
    </w:pPr>
    <w:rPr>
      <w:b w:val="0"/>
      <w:bCs w:val="0"/>
      <w:caps w:val="0"/>
      <w:color w:val="18375F" w:themeColor="accent1" w:themeShade="BF"/>
      <w:sz w:val="32"/>
      <w:szCs w:val="32"/>
    </w:rPr>
  </w:style>
  <w:style w:type="paragraph" w:styleId="TOC2">
    <w:name w:val="toc 2"/>
    <w:basedOn w:val="Normal"/>
    <w:next w:val="Normal"/>
    <w:autoRedefine/>
    <w:uiPriority w:val="39"/>
    <w:unhideWhenUsed/>
    <w:rsid w:val="000908AA"/>
    <w:pPr>
      <w:spacing w:after="100"/>
      <w:ind w:left="200"/>
    </w:pPr>
  </w:style>
  <w:style w:type="paragraph" w:styleId="TOC3">
    <w:name w:val="toc 3"/>
    <w:basedOn w:val="Normal"/>
    <w:next w:val="Normal"/>
    <w:autoRedefine/>
    <w:uiPriority w:val="39"/>
    <w:unhideWhenUsed/>
    <w:rsid w:val="000908AA"/>
    <w:pPr>
      <w:spacing w:after="100"/>
      <w:ind w:left="400"/>
    </w:pPr>
  </w:style>
  <w:style w:type="paragraph" w:customStyle="1" w:styleId="LetteredList">
    <w:name w:val="Lettered List"/>
    <w:basedOn w:val="Bullet1"/>
    <w:uiPriority w:val="99"/>
    <w:qFormat/>
    <w:rsid w:val="006F2EB9"/>
    <w:pPr>
      <w:numPr>
        <w:numId w:val="18"/>
      </w:numPr>
      <w:spacing w:after="120" w:line="360" w:lineRule="auto"/>
      <w:contextualSpacing/>
    </w:pPr>
    <w:rPr>
      <w:rFonts w:eastAsiaTheme="minorEastAsia"/>
      <w:sz w:val="18"/>
      <w:lang w:eastAsia="ja-JP"/>
    </w:rPr>
  </w:style>
  <w:style w:type="character" w:styleId="UnresolvedMention">
    <w:name w:val="Unresolved Mention"/>
    <w:basedOn w:val="DefaultParagraphFont"/>
    <w:uiPriority w:val="99"/>
    <w:semiHidden/>
    <w:unhideWhenUsed/>
    <w:rsid w:val="00C279E0"/>
    <w:rPr>
      <w:color w:val="605E5C"/>
      <w:shd w:val="clear" w:color="auto" w:fill="E1DFDD"/>
    </w:rPr>
  </w:style>
  <w:style w:type="paragraph" w:customStyle="1" w:styleId="Bullet1last">
    <w:name w:val="Bullet 1 last"/>
    <w:basedOn w:val="Bullet1"/>
    <w:link w:val="Bullet1lastChar"/>
    <w:rsid w:val="00EE3D30"/>
    <w:pPr>
      <w:numPr>
        <w:numId w:val="19"/>
      </w:numPr>
      <w:spacing w:after="120" w:line="360" w:lineRule="auto"/>
      <w:contextualSpacing/>
    </w:pPr>
    <w:rPr>
      <w:rFonts w:eastAsia="Times New Roman" w:cs="Times New Roman"/>
      <w:i/>
      <w:iCs/>
      <w:sz w:val="18"/>
      <w:szCs w:val="20"/>
    </w:rPr>
  </w:style>
  <w:style w:type="character" w:customStyle="1" w:styleId="Bullet1lastChar">
    <w:name w:val="Bullet 1 last Char"/>
    <w:basedOn w:val="DefaultParagraphFont"/>
    <w:link w:val="Bullet1last"/>
    <w:rsid w:val="00EE3D30"/>
    <w:rPr>
      <w:rFonts w:ascii="Century Gothic" w:eastAsia="Times New Roman" w:hAnsi="Century Gothic" w:cs="Times New Roman"/>
      <w:i/>
      <w:iCs/>
      <w:sz w:val="18"/>
      <w:szCs w:val="20"/>
    </w:rPr>
  </w:style>
  <w:style w:type="paragraph" w:customStyle="1" w:styleId="TableText">
    <w:name w:val="TableText"/>
    <w:basedOn w:val="Normal"/>
    <w:link w:val="TableTextChar"/>
    <w:qFormat/>
    <w:rsid w:val="00EE3D30"/>
    <w:pPr>
      <w:spacing w:after="0" w:line="312" w:lineRule="auto"/>
    </w:pPr>
    <w:rPr>
      <w:rFonts w:eastAsia="Times New Roman" w:cs="Times New Roman"/>
      <w:sz w:val="18"/>
      <w:szCs w:val="20"/>
    </w:rPr>
  </w:style>
  <w:style w:type="character" w:customStyle="1" w:styleId="TableTextChar">
    <w:name w:val="TableText Char"/>
    <w:basedOn w:val="DefaultParagraphFont"/>
    <w:link w:val="TableText"/>
    <w:rsid w:val="00EE3D30"/>
    <w:rPr>
      <w:rFonts w:ascii="Century Gothic" w:eastAsia="Times New Roman" w:hAnsi="Century Gothic" w:cs="Times New Roman"/>
      <w:sz w:val="18"/>
      <w:szCs w:val="20"/>
    </w:rPr>
  </w:style>
  <w:style w:type="paragraph" w:styleId="ListParagraph">
    <w:name w:val="List Paragraph"/>
    <w:basedOn w:val="Normal"/>
    <w:rsid w:val="00346475"/>
    <w:pPr>
      <w:ind w:left="720"/>
      <w:contextualSpacing/>
    </w:pPr>
  </w:style>
  <w:style w:type="paragraph" w:styleId="NormalWeb">
    <w:name w:val="Normal (Web)"/>
    <w:basedOn w:val="Normal"/>
    <w:uiPriority w:val="99"/>
    <w:semiHidden/>
    <w:unhideWhenUsed/>
    <w:rsid w:val="003D1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1Char">
    <w:name w:val="Bullet 1 Char"/>
    <w:basedOn w:val="DefaultParagraphFont"/>
    <w:link w:val="Bullet1"/>
    <w:rsid w:val="00AE4CDF"/>
    <w:rPr>
      <w:rFonts w:ascii="Century Gothic" w:hAnsi="Century Gothic"/>
      <w:sz w:val="20"/>
    </w:rPr>
  </w:style>
  <w:style w:type="paragraph" w:customStyle="1" w:styleId="FigureCaption">
    <w:name w:val="Figure Caption"/>
    <w:basedOn w:val="Normal"/>
    <w:link w:val="FigureCaptionChar"/>
    <w:qFormat/>
    <w:rsid w:val="00512556"/>
    <w:pPr>
      <w:spacing w:after="240"/>
      <w:contextualSpacing/>
    </w:pPr>
    <w:rPr>
      <w:i/>
      <w:noProof/>
      <w:sz w:val="16"/>
      <w:szCs w:val="16"/>
    </w:rPr>
  </w:style>
  <w:style w:type="character" w:customStyle="1" w:styleId="FigureCaptionChar">
    <w:name w:val="Figure Caption Char"/>
    <w:basedOn w:val="DefaultParagraphFont"/>
    <w:link w:val="FigureCaption"/>
    <w:rsid w:val="00512556"/>
    <w:rPr>
      <w:rFonts w:ascii="Century Gothic" w:hAnsi="Century Gothic"/>
      <w:i/>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8888">
      <w:bodyDiv w:val="1"/>
      <w:marLeft w:val="0"/>
      <w:marRight w:val="0"/>
      <w:marTop w:val="0"/>
      <w:marBottom w:val="0"/>
      <w:divBdr>
        <w:top w:val="none" w:sz="0" w:space="0" w:color="auto"/>
        <w:left w:val="none" w:sz="0" w:space="0" w:color="auto"/>
        <w:bottom w:val="none" w:sz="0" w:space="0" w:color="auto"/>
        <w:right w:val="none" w:sz="0" w:space="0" w:color="auto"/>
      </w:divBdr>
      <w:divsChild>
        <w:div w:id="569770307">
          <w:marLeft w:val="288"/>
          <w:marRight w:val="0"/>
          <w:marTop w:val="240"/>
          <w:marBottom w:val="0"/>
          <w:divBdr>
            <w:top w:val="none" w:sz="0" w:space="0" w:color="auto"/>
            <w:left w:val="none" w:sz="0" w:space="0" w:color="auto"/>
            <w:bottom w:val="none" w:sz="0" w:space="0" w:color="auto"/>
            <w:right w:val="none" w:sz="0" w:space="0" w:color="auto"/>
          </w:divBdr>
        </w:div>
        <w:div w:id="848563344">
          <w:marLeft w:val="288"/>
          <w:marRight w:val="0"/>
          <w:marTop w:val="240"/>
          <w:marBottom w:val="0"/>
          <w:divBdr>
            <w:top w:val="none" w:sz="0" w:space="0" w:color="auto"/>
            <w:left w:val="none" w:sz="0" w:space="0" w:color="auto"/>
            <w:bottom w:val="none" w:sz="0" w:space="0" w:color="auto"/>
            <w:right w:val="none" w:sz="0" w:space="0" w:color="auto"/>
          </w:divBdr>
        </w:div>
        <w:div w:id="1624270845">
          <w:marLeft w:val="288"/>
          <w:marRight w:val="0"/>
          <w:marTop w:val="240"/>
          <w:marBottom w:val="0"/>
          <w:divBdr>
            <w:top w:val="none" w:sz="0" w:space="0" w:color="auto"/>
            <w:left w:val="none" w:sz="0" w:space="0" w:color="auto"/>
            <w:bottom w:val="none" w:sz="0" w:space="0" w:color="auto"/>
            <w:right w:val="none" w:sz="0" w:space="0" w:color="auto"/>
          </w:divBdr>
        </w:div>
        <w:div w:id="1058240585">
          <w:marLeft w:val="288"/>
          <w:marRight w:val="0"/>
          <w:marTop w:val="240"/>
          <w:marBottom w:val="0"/>
          <w:divBdr>
            <w:top w:val="none" w:sz="0" w:space="0" w:color="auto"/>
            <w:left w:val="none" w:sz="0" w:space="0" w:color="auto"/>
            <w:bottom w:val="none" w:sz="0" w:space="0" w:color="auto"/>
            <w:right w:val="none" w:sz="0" w:space="0" w:color="auto"/>
          </w:divBdr>
        </w:div>
        <w:div w:id="1583297973">
          <w:marLeft w:val="288"/>
          <w:marRight w:val="0"/>
          <w:marTop w:val="240"/>
          <w:marBottom w:val="0"/>
          <w:divBdr>
            <w:top w:val="none" w:sz="0" w:space="0" w:color="auto"/>
            <w:left w:val="none" w:sz="0" w:space="0" w:color="auto"/>
            <w:bottom w:val="none" w:sz="0" w:space="0" w:color="auto"/>
            <w:right w:val="none" w:sz="0" w:space="0" w:color="auto"/>
          </w:divBdr>
        </w:div>
      </w:divsChild>
    </w:div>
    <w:div w:id="355346879">
      <w:bodyDiv w:val="1"/>
      <w:marLeft w:val="0"/>
      <w:marRight w:val="0"/>
      <w:marTop w:val="0"/>
      <w:marBottom w:val="0"/>
      <w:divBdr>
        <w:top w:val="none" w:sz="0" w:space="0" w:color="auto"/>
        <w:left w:val="none" w:sz="0" w:space="0" w:color="auto"/>
        <w:bottom w:val="none" w:sz="0" w:space="0" w:color="auto"/>
        <w:right w:val="none" w:sz="0" w:space="0" w:color="auto"/>
      </w:divBdr>
    </w:div>
    <w:div w:id="622886089">
      <w:bodyDiv w:val="1"/>
      <w:marLeft w:val="0"/>
      <w:marRight w:val="0"/>
      <w:marTop w:val="0"/>
      <w:marBottom w:val="0"/>
      <w:divBdr>
        <w:top w:val="none" w:sz="0" w:space="0" w:color="auto"/>
        <w:left w:val="none" w:sz="0" w:space="0" w:color="auto"/>
        <w:bottom w:val="none" w:sz="0" w:space="0" w:color="auto"/>
        <w:right w:val="none" w:sz="0" w:space="0" w:color="auto"/>
      </w:divBdr>
      <w:divsChild>
        <w:div w:id="668219206">
          <w:marLeft w:val="288"/>
          <w:marRight w:val="0"/>
          <w:marTop w:val="240"/>
          <w:marBottom w:val="0"/>
          <w:divBdr>
            <w:top w:val="none" w:sz="0" w:space="0" w:color="auto"/>
            <w:left w:val="none" w:sz="0" w:space="0" w:color="auto"/>
            <w:bottom w:val="none" w:sz="0" w:space="0" w:color="auto"/>
            <w:right w:val="none" w:sz="0" w:space="0" w:color="auto"/>
          </w:divBdr>
        </w:div>
        <w:div w:id="1183590601">
          <w:marLeft w:val="288"/>
          <w:marRight w:val="0"/>
          <w:marTop w:val="240"/>
          <w:marBottom w:val="0"/>
          <w:divBdr>
            <w:top w:val="none" w:sz="0" w:space="0" w:color="auto"/>
            <w:left w:val="none" w:sz="0" w:space="0" w:color="auto"/>
            <w:bottom w:val="none" w:sz="0" w:space="0" w:color="auto"/>
            <w:right w:val="none" w:sz="0" w:space="0" w:color="auto"/>
          </w:divBdr>
        </w:div>
        <w:div w:id="1872835049">
          <w:marLeft w:val="288"/>
          <w:marRight w:val="0"/>
          <w:marTop w:val="240"/>
          <w:marBottom w:val="0"/>
          <w:divBdr>
            <w:top w:val="none" w:sz="0" w:space="0" w:color="auto"/>
            <w:left w:val="none" w:sz="0" w:space="0" w:color="auto"/>
            <w:bottom w:val="none" w:sz="0" w:space="0" w:color="auto"/>
            <w:right w:val="none" w:sz="0" w:space="0" w:color="auto"/>
          </w:divBdr>
        </w:div>
        <w:div w:id="1545366890">
          <w:marLeft w:val="288"/>
          <w:marRight w:val="0"/>
          <w:marTop w:val="240"/>
          <w:marBottom w:val="0"/>
          <w:divBdr>
            <w:top w:val="none" w:sz="0" w:space="0" w:color="auto"/>
            <w:left w:val="none" w:sz="0" w:space="0" w:color="auto"/>
            <w:bottom w:val="none" w:sz="0" w:space="0" w:color="auto"/>
            <w:right w:val="none" w:sz="0" w:space="0" w:color="auto"/>
          </w:divBdr>
        </w:div>
        <w:div w:id="1994211170">
          <w:marLeft w:val="288"/>
          <w:marRight w:val="0"/>
          <w:marTop w:val="240"/>
          <w:marBottom w:val="0"/>
          <w:divBdr>
            <w:top w:val="none" w:sz="0" w:space="0" w:color="auto"/>
            <w:left w:val="none" w:sz="0" w:space="0" w:color="auto"/>
            <w:bottom w:val="none" w:sz="0" w:space="0" w:color="auto"/>
            <w:right w:val="none" w:sz="0" w:space="0" w:color="auto"/>
          </w:divBdr>
        </w:div>
      </w:divsChild>
    </w:div>
    <w:div w:id="16070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kittelson.com\fs\H_Projects\23\23021%20-%20Transportation%20and%20Land%20Use%20Planning\022%20-%20Umpqua%20Transit%20Master%20Plan\data\NT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kittelson.com\fs\H_Projects\23\23021%20-%20Transportation%20and%20Land%20Use%20Planning\022%20-%20Umpqua%20Transit%20Master%20Plan\data\3B-19%20UPTD%20ridership%20by%20city%20Graph%20-%20Cop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kittelson.com\fs\H_Projects\23\23021%20-%20Transportation%20and%20Land%20Use%20Planning\022%20-%20Umpqua%20Transit%20Master%20Plan\excel\Copy%20of%20Budget%20Worksheet%202021-2020(AutoRecover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RuralNTDTrend_Effectiveness!$M$21</c:f>
              <c:strCache>
                <c:ptCount val="1"/>
                <c:pt idx="0">
                  <c:v>  Total Unlinked Passenger Trips per Vehicle Revenue Hour</c:v>
                </c:pt>
              </c:strCache>
            </c:strRef>
          </c:tx>
          <c:spPr>
            <a:solidFill>
              <a:srgbClr val="204A8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RuralNTDTrend_Effectiveness!$O$20:$U$20</c:f>
              <c:numCache>
                <c:formatCode>General</c:formatCode>
                <c:ptCount val="7"/>
                <c:pt idx="0">
                  <c:v>2013</c:v>
                </c:pt>
                <c:pt idx="1">
                  <c:v>2014</c:v>
                </c:pt>
                <c:pt idx="2">
                  <c:v>2015</c:v>
                </c:pt>
                <c:pt idx="3">
                  <c:v>2016</c:v>
                </c:pt>
                <c:pt idx="4">
                  <c:v>2017</c:v>
                </c:pt>
                <c:pt idx="5">
                  <c:v>2018</c:v>
                </c:pt>
                <c:pt idx="6">
                  <c:v>2019</c:v>
                </c:pt>
              </c:numCache>
            </c:numRef>
          </c:cat>
          <c:val>
            <c:numRef>
              <c:f>RuralNTDTrend_Effectiveness!$O$21:$U$21</c:f>
              <c:numCache>
                <c:formatCode>_(* #,##0.00_);_(* \(#,##0.00\);_(* "-"??_);_(@_)</c:formatCode>
                <c:ptCount val="7"/>
                <c:pt idx="0">
                  <c:v>4.9800000000000004</c:v>
                </c:pt>
                <c:pt idx="1">
                  <c:v>5.17</c:v>
                </c:pt>
                <c:pt idx="2">
                  <c:v>5.26</c:v>
                </c:pt>
                <c:pt idx="3">
                  <c:v>4.71</c:v>
                </c:pt>
                <c:pt idx="4">
                  <c:v>4.0599999999999996</c:v>
                </c:pt>
                <c:pt idx="5">
                  <c:v>3.5</c:v>
                </c:pt>
                <c:pt idx="6">
                  <c:v>3.5611823731494527</c:v>
                </c:pt>
              </c:numCache>
            </c:numRef>
          </c:val>
          <c:extLst>
            <c:ext xmlns:c16="http://schemas.microsoft.com/office/drawing/2014/chart" uri="{C3380CC4-5D6E-409C-BE32-E72D297353CC}">
              <c16:uniqueId val="{00000000-E5E4-43D8-8BA3-5EE7E677C42E}"/>
            </c:ext>
          </c:extLst>
        </c:ser>
        <c:dLbls>
          <c:showLegendKey val="0"/>
          <c:showVal val="0"/>
          <c:showCatName val="0"/>
          <c:showSerName val="0"/>
          <c:showPercent val="0"/>
          <c:showBubbleSize val="0"/>
        </c:dLbls>
        <c:gapWidth val="219"/>
        <c:axId val="596203768"/>
        <c:axId val="1"/>
      </c:barChart>
      <c:catAx>
        <c:axId val="59620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Rides per Hour</a:t>
                </a:r>
              </a:p>
            </c:rich>
          </c:tx>
          <c:overlay val="0"/>
          <c:spPr>
            <a:noFill/>
            <a:ln>
              <a:noFill/>
            </a:ln>
            <a:effectLst/>
          </c:spPr>
        </c:title>
        <c:numFmt formatCode="_(* #,##0_);_(* \(#,##0\);_(* &quot;-&quot;_);_(@_)" sourceLinked="0"/>
        <c:majorTickMark val="none"/>
        <c:minorTickMark val="none"/>
        <c:tickLblPos val="nextTo"/>
        <c:spPr>
          <a:noFill/>
          <a:ln>
            <a:noFill/>
          </a:ln>
          <a:effectLst/>
        </c:spPr>
        <c:txPr>
          <a:bodyPr rot="-60000000" vert="horz"/>
          <a:lstStyle/>
          <a:p>
            <a:pPr>
              <a:defRPr/>
            </a:pPr>
            <a:endParaRPr lang="en-US"/>
          </a:p>
        </c:txPr>
        <c:crossAx val="5962037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Gothic" panose="020B0502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7"/>
          <c:order val="7"/>
          <c:tx>
            <c:strRef>
              <c:f>'Total Ridership'!$A$32</c:f>
              <c:strCache>
                <c:ptCount val="1"/>
                <c:pt idx="0">
                  <c:v>15-16</c:v>
                </c:pt>
              </c:strCache>
              <c:extLst xmlns:c15="http://schemas.microsoft.com/office/drawing/2012/chart"/>
            </c:strRef>
          </c:tx>
          <c:cat>
            <c:strRef>
              <c:f>'Total Ridership'!$B$24:$M$24</c:f>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extLst xmlns:c15="http://schemas.microsoft.com/office/drawing/2012/chart"/>
            </c:strRef>
          </c:cat>
          <c:val>
            <c:numRef>
              <c:f>'Total Ridership'!$B$32:$M$32</c:f>
              <c:numCache>
                <c:formatCode>#,##0</c:formatCode>
                <c:ptCount val="12"/>
                <c:pt idx="0">
                  <c:v>11927</c:v>
                </c:pt>
                <c:pt idx="1">
                  <c:v>10511</c:v>
                </c:pt>
                <c:pt idx="2">
                  <c:v>10578</c:v>
                </c:pt>
                <c:pt idx="3">
                  <c:v>11937</c:v>
                </c:pt>
                <c:pt idx="4">
                  <c:v>10131</c:v>
                </c:pt>
                <c:pt idx="5">
                  <c:v>10251</c:v>
                </c:pt>
                <c:pt idx="6">
                  <c:v>10181</c:v>
                </c:pt>
                <c:pt idx="7">
                  <c:v>11300</c:v>
                </c:pt>
                <c:pt idx="8">
                  <c:v>11897</c:v>
                </c:pt>
                <c:pt idx="9">
                  <c:v>11389</c:v>
                </c:pt>
                <c:pt idx="10">
                  <c:v>11090</c:v>
                </c:pt>
                <c:pt idx="11">
                  <c:v>10024</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0-62B7-46EF-B519-4B9243A4DB11}"/>
            </c:ext>
          </c:extLst>
        </c:ser>
        <c:ser>
          <c:idx val="8"/>
          <c:order val="8"/>
          <c:tx>
            <c:strRef>
              <c:f>'Total Ridership'!$A$33</c:f>
              <c:strCache>
                <c:ptCount val="1"/>
                <c:pt idx="0">
                  <c:v>16-17</c:v>
                </c:pt>
              </c:strCache>
            </c:strRef>
          </c:tx>
          <c:marker>
            <c:symbol val="none"/>
          </c:marker>
          <c:cat>
            <c:strRef>
              <c:f>'Total Ridership'!$B$24:$M$24</c:f>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f>'Total Ridership'!$B$33:$M$33</c:f>
              <c:numCache>
                <c:formatCode>#,##0</c:formatCode>
                <c:ptCount val="12"/>
                <c:pt idx="0">
                  <c:v>8892</c:v>
                </c:pt>
                <c:pt idx="1">
                  <c:v>9761</c:v>
                </c:pt>
                <c:pt idx="2">
                  <c:v>9649</c:v>
                </c:pt>
                <c:pt idx="3">
                  <c:v>10491</c:v>
                </c:pt>
                <c:pt idx="4">
                  <c:v>9406</c:v>
                </c:pt>
                <c:pt idx="5">
                  <c:v>8157</c:v>
                </c:pt>
                <c:pt idx="6">
                  <c:v>8283</c:v>
                </c:pt>
                <c:pt idx="7">
                  <c:v>9124</c:v>
                </c:pt>
                <c:pt idx="8">
                  <c:v>9465</c:v>
                </c:pt>
                <c:pt idx="9">
                  <c:v>8866</c:v>
                </c:pt>
                <c:pt idx="10">
                  <c:v>9710</c:v>
                </c:pt>
                <c:pt idx="11">
                  <c:v>9304</c:v>
                </c:pt>
              </c:numCache>
            </c:numRef>
          </c:val>
          <c:smooth val="0"/>
          <c:extLst>
            <c:ext xmlns:c16="http://schemas.microsoft.com/office/drawing/2014/chart" uri="{C3380CC4-5D6E-409C-BE32-E72D297353CC}">
              <c16:uniqueId val="{00000001-62B7-46EF-B519-4B9243A4DB11}"/>
            </c:ext>
          </c:extLst>
        </c:ser>
        <c:ser>
          <c:idx val="9"/>
          <c:order val="9"/>
          <c:tx>
            <c:strRef>
              <c:f>'Total Ridership'!$A$34</c:f>
              <c:strCache>
                <c:ptCount val="1"/>
                <c:pt idx="0">
                  <c:v>17-18</c:v>
                </c:pt>
              </c:strCache>
            </c:strRef>
          </c:tx>
          <c:marker>
            <c:symbol val="none"/>
          </c:marker>
          <c:cat>
            <c:strRef>
              <c:f>'Total Ridership'!$B$24:$M$24</c:f>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f>'Total Ridership'!$B$34:$M$34</c:f>
              <c:numCache>
                <c:formatCode>#,##0</c:formatCode>
                <c:ptCount val="12"/>
                <c:pt idx="0">
                  <c:v>7801</c:v>
                </c:pt>
                <c:pt idx="1">
                  <c:v>8229</c:v>
                </c:pt>
                <c:pt idx="2">
                  <c:v>7734</c:v>
                </c:pt>
                <c:pt idx="3">
                  <c:v>8725</c:v>
                </c:pt>
                <c:pt idx="4">
                  <c:v>7868</c:v>
                </c:pt>
                <c:pt idx="5">
                  <c:v>7093</c:v>
                </c:pt>
                <c:pt idx="6">
                  <c:v>8285</c:v>
                </c:pt>
                <c:pt idx="7">
                  <c:v>7831</c:v>
                </c:pt>
                <c:pt idx="8">
                  <c:v>8064</c:v>
                </c:pt>
                <c:pt idx="9">
                  <c:v>8298</c:v>
                </c:pt>
                <c:pt idx="10">
                  <c:v>9169</c:v>
                </c:pt>
                <c:pt idx="11">
                  <c:v>8593</c:v>
                </c:pt>
              </c:numCache>
            </c:numRef>
          </c:val>
          <c:smooth val="0"/>
          <c:extLst>
            <c:ext xmlns:c16="http://schemas.microsoft.com/office/drawing/2014/chart" uri="{C3380CC4-5D6E-409C-BE32-E72D297353CC}">
              <c16:uniqueId val="{00000002-62B7-46EF-B519-4B9243A4DB11}"/>
            </c:ext>
          </c:extLst>
        </c:ser>
        <c:ser>
          <c:idx val="10"/>
          <c:order val="10"/>
          <c:tx>
            <c:strRef>
              <c:f>'Total Ridership'!$A$35</c:f>
              <c:strCache>
                <c:ptCount val="1"/>
                <c:pt idx="0">
                  <c:v>18-19</c:v>
                </c:pt>
              </c:strCache>
            </c:strRef>
          </c:tx>
          <c:spPr>
            <a:ln>
              <a:solidFill>
                <a:srgbClr val="FFC000"/>
              </a:solidFill>
            </a:ln>
          </c:spPr>
          <c:marker>
            <c:symbol val="none"/>
          </c:marker>
          <c:cat>
            <c:strRef>
              <c:f>'Total Ridership'!$B$24:$M$24</c:f>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f>'Total Ridership'!$B$35:$M$35</c:f>
              <c:numCache>
                <c:formatCode>#,##0</c:formatCode>
                <c:ptCount val="12"/>
                <c:pt idx="0">
                  <c:v>8035</c:v>
                </c:pt>
                <c:pt idx="1">
                  <c:v>9518</c:v>
                </c:pt>
                <c:pt idx="2">
                  <c:v>7363</c:v>
                </c:pt>
                <c:pt idx="3">
                  <c:v>9248</c:v>
                </c:pt>
                <c:pt idx="4">
                  <c:v>7979</c:v>
                </c:pt>
                <c:pt idx="5">
                  <c:v>6964</c:v>
                </c:pt>
                <c:pt idx="6">
                  <c:v>8369</c:v>
                </c:pt>
                <c:pt idx="7">
                  <c:v>6800</c:v>
                </c:pt>
                <c:pt idx="8">
                  <c:v>8725</c:v>
                </c:pt>
                <c:pt idx="9">
                  <c:v>9361</c:v>
                </c:pt>
                <c:pt idx="10">
                  <c:v>9300</c:v>
                </c:pt>
                <c:pt idx="11">
                  <c:v>7762</c:v>
                </c:pt>
              </c:numCache>
            </c:numRef>
          </c:val>
          <c:smooth val="0"/>
          <c:extLst>
            <c:ext xmlns:c16="http://schemas.microsoft.com/office/drawing/2014/chart" uri="{C3380CC4-5D6E-409C-BE32-E72D297353CC}">
              <c16:uniqueId val="{00000003-62B7-46EF-B519-4B9243A4DB11}"/>
            </c:ext>
          </c:extLst>
        </c:ser>
        <c:ser>
          <c:idx val="12"/>
          <c:order val="11"/>
          <c:tx>
            <c:strRef>
              <c:f>'Total Ridership'!$A$36</c:f>
              <c:strCache>
                <c:ptCount val="1"/>
                <c:pt idx="0">
                  <c:v>19-20</c:v>
                </c:pt>
              </c:strCache>
            </c:strRef>
          </c:tx>
          <c:marker>
            <c:symbol val="none"/>
          </c:marker>
          <c:cat>
            <c:strRef>
              <c:f>'Total Ridership'!$B$24:$M$24</c:f>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f>'Total Ridership'!$B$36:$M$36</c:f>
              <c:numCache>
                <c:formatCode>#,##0</c:formatCode>
                <c:ptCount val="12"/>
                <c:pt idx="0">
                  <c:v>8788</c:v>
                </c:pt>
                <c:pt idx="1">
                  <c:v>8589</c:v>
                </c:pt>
                <c:pt idx="2">
                  <c:v>7654</c:v>
                </c:pt>
                <c:pt idx="3">
                  <c:v>9146</c:v>
                </c:pt>
                <c:pt idx="4">
                  <c:v>7532</c:v>
                </c:pt>
                <c:pt idx="5">
                  <c:v>7312</c:v>
                </c:pt>
                <c:pt idx="6">
                  <c:v>8839</c:v>
                </c:pt>
                <c:pt idx="7">
                  <c:v>8400</c:v>
                </c:pt>
                <c:pt idx="8">
                  <c:v>6652</c:v>
                </c:pt>
                <c:pt idx="9">
                  <c:v>2476</c:v>
                </c:pt>
                <c:pt idx="10">
                  <c:v>2923</c:v>
                </c:pt>
                <c:pt idx="11">
                  <c:v>3843</c:v>
                </c:pt>
              </c:numCache>
            </c:numRef>
          </c:val>
          <c:smooth val="0"/>
          <c:extLst>
            <c:ext xmlns:c16="http://schemas.microsoft.com/office/drawing/2014/chart" uri="{C3380CC4-5D6E-409C-BE32-E72D297353CC}">
              <c16:uniqueId val="{00000004-62B7-46EF-B519-4B9243A4DB11}"/>
            </c:ext>
          </c:extLst>
        </c:ser>
        <c:ser>
          <c:idx val="11"/>
          <c:order val="12"/>
          <c:tx>
            <c:strRef>
              <c:f>'Total Ridership'!$A$37</c:f>
              <c:strCache>
                <c:ptCount val="1"/>
                <c:pt idx="0">
                  <c:v>20-21</c:v>
                </c:pt>
              </c:strCache>
              <c:extLst xmlns:c15="http://schemas.microsoft.com/office/drawing/2012/chart"/>
            </c:strRef>
          </c:tx>
          <c:spPr>
            <a:ln>
              <a:solidFill>
                <a:srgbClr val="92D050"/>
              </a:solidFill>
            </a:ln>
          </c:spPr>
          <c:marker>
            <c:symbol val="none"/>
          </c:marker>
          <c:dPt>
            <c:idx val="5"/>
            <c:bubble3D val="0"/>
            <c:extLst>
              <c:ext xmlns:c16="http://schemas.microsoft.com/office/drawing/2014/chart" uri="{C3380CC4-5D6E-409C-BE32-E72D297353CC}">
                <c16:uniqueId val="{00000005-62B7-46EF-B519-4B9243A4DB11}"/>
              </c:ext>
            </c:extLst>
          </c:dPt>
          <c:cat>
            <c:strRef>
              <c:f>'Total Ridership'!$B$24:$M$24</c:f>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extLst xmlns:c15="http://schemas.microsoft.com/office/drawing/2012/chart"/>
            </c:strRef>
          </c:cat>
          <c:val>
            <c:numRef>
              <c:f>'Total Ridership'!$B$37:$M$37</c:f>
              <c:numCache>
                <c:formatCode>#,##0</c:formatCode>
                <c:ptCount val="12"/>
                <c:pt idx="0">
                  <c:v>4373</c:v>
                </c:pt>
                <c:pt idx="1">
                  <c:v>4166</c:v>
                </c:pt>
                <c:pt idx="2">
                  <c:v>4422</c:v>
                </c:pt>
                <c:pt idx="3">
                  <c:v>4902</c:v>
                </c:pt>
                <c:pt idx="4">
                  <c:v>4047</c:v>
                </c:pt>
                <c:pt idx="5">
                  <c:v>4997</c:v>
                </c:pt>
                <c:pt idx="6">
                  <c:v>3344</c:v>
                </c:pt>
                <c:pt idx="7">
                  <c:v>3266</c:v>
                </c:pt>
                <c:pt idx="8">
                  <c:v>4102</c:v>
                </c:pt>
                <c:pt idx="9">
                  <c:v>3956</c:v>
                </c:pt>
                <c:pt idx="10">
                  <c:v>4158</c:v>
                </c:pt>
                <c:pt idx="11">
                  <c:v>4158</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6-62B7-46EF-B519-4B9243A4DB11}"/>
            </c:ext>
          </c:extLst>
        </c:ser>
        <c:dLbls>
          <c:showLegendKey val="0"/>
          <c:showVal val="0"/>
          <c:showCatName val="0"/>
          <c:showSerName val="0"/>
          <c:showPercent val="0"/>
          <c:showBubbleSize val="0"/>
        </c:dLbls>
        <c:marker val="1"/>
        <c:smooth val="0"/>
        <c:axId val="170134528"/>
        <c:axId val="170156800"/>
        <c:extLst>
          <c:ext xmlns:c15="http://schemas.microsoft.com/office/drawing/2012/chart" uri="{02D57815-91ED-43cb-92C2-25804820EDAC}">
            <c15:filteredLineSeries>
              <c15:ser>
                <c:idx val="0"/>
                <c:order val="0"/>
                <c:tx>
                  <c:strRef>
                    <c:extLst>
                      <c:ext uri="{02D57815-91ED-43cb-92C2-25804820EDAC}">
                        <c15:formulaRef>
                          <c15:sqref>'Total Ridership'!$A$25</c15:sqref>
                        </c15:formulaRef>
                      </c:ext>
                    </c:extLst>
                    <c:strCache>
                      <c:ptCount val="1"/>
                      <c:pt idx="0">
                        <c:v>08-09</c:v>
                      </c:pt>
                    </c:strCache>
                  </c:strRef>
                </c:tx>
                <c:cat>
                  <c:strRef>
                    <c:extLst>
                      <c:ex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c:ext uri="{02D57815-91ED-43cb-92C2-25804820EDAC}">
                        <c15:formulaRef>
                          <c15:sqref>'Total Ridership'!$B$25:$M$25</c15:sqref>
                        </c15:formulaRef>
                      </c:ext>
                    </c:extLst>
                    <c:numCache>
                      <c:formatCode>#,##0</c:formatCode>
                      <c:ptCount val="12"/>
                      <c:pt idx="0">
                        <c:v>9822</c:v>
                      </c:pt>
                      <c:pt idx="1">
                        <c:v>9108</c:v>
                      </c:pt>
                      <c:pt idx="2">
                        <c:v>8450</c:v>
                      </c:pt>
                      <c:pt idx="3">
                        <c:v>11804</c:v>
                      </c:pt>
                      <c:pt idx="4">
                        <c:v>8800</c:v>
                      </c:pt>
                      <c:pt idx="5">
                        <c:v>8737</c:v>
                      </c:pt>
                      <c:pt idx="6">
                        <c:v>9803</c:v>
                      </c:pt>
                      <c:pt idx="7">
                        <c:v>8514</c:v>
                      </c:pt>
                      <c:pt idx="8">
                        <c:v>8988</c:v>
                      </c:pt>
                      <c:pt idx="9">
                        <c:v>10492</c:v>
                      </c:pt>
                      <c:pt idx="10">
                        <c:v>8661</c:v>
                      </c:pt>
                      <c:pt idx="11">
                        <c:v>8629</c:v>
                      </c:pt>
                    </c:numCache>
                  </c:numRef>
                </c:val>
                <c:smooth val="0"/>
                <c:extLst>
                  <c:ext xmlns:c16="http://schemas.microsoft.com/office/drawing/2014/chart" uri="{C3380CC4-5D6E-409C-BE32-E72D297353CC}">
                    <c16:uniqueId val="{00000007-62B7-46EF-B519-4B9243A4DB11}"/>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'Total Ridership'!$A$26</c15:sqref>
                        </c15:formulaRef>
                      </c:ext>
                    </c:extLst>
                    <c:strCache>
                      <c:ptCount val="1"/>
                      <c:pt idx="0">
                        <c:v>09-10</c:v>
                      </c:pt>
                    </c:strCache>
                  </c:strRef>
                </c:tx>
                <c:cat>
                  <c:strRef>
                    <c:extLst xmlns:c15="http://schemas.microsoft.com/office/drawing/2012/chart">
                      <c:ext xmlns:c15="http://schemas.microsoft.com/office/drawing/2012/char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xmlns:c15="http://schemas.microsoft.com/office/drawing/2012/chart">
                      <c:ext xmlns:c15="http://schemas.microsoft.com/office/drawing/2012/chart" uri="{02D57815-91ED-43cb-92C2-25804820EDAC}">
                        <c15:formulaRef>
                          <c15:sqref>'Total Ridership'!$B$26:$M$26</c15:sqref>
                        </c15:formulaRef>
                      </c:ext>
                    </c:extLst>
                    <c:numCache>
                      <c:formatCode>#,##0</c:formatCode>
                      <c:ptCount val="12"/>
                      <c:pt idx="0">
                        <c:v>8620</c:v>
                      </c:pt>
                      <c:pt idx="1">
                        <c:v>7328</c:v>
                      </c:pt>
                      <c:pt idx="2">
                        <c:v>7573</c:v>
                      </c:pt>
                      <c:pt idx="3">
                        <c:v>10824</c:v>
                      </c:pt>
                      <c:pt idx="4">
                        <c:v>8861</c:v>
                      </c:pt>
                      <c:pt idx="5">
                        <c:v>8109</c:v>
                      </c:pt>
                      <c:pt idx="6">
                        <c:v>10336</c:v>
                      </c:pt>
                      <c:pt idx="7">
                        <c:v>9554</c:v>
                      </c:pt>
                      <c:pt idx="8">
                        <c:v>10824</c:v>
                      </c:pt>
                      <c:pt idx="9">
                        <c:v>12032</c:v>
                      </c:pt>
                      <c:pt idx="10">
                        <c:v>9684</c:v>
                      </c:pt>
                      <c:pt idx="11">
                        <c:v>8840</c:v>
                      </c:pt>
                    </c:numCache>
                  </c:numRef>
                </c:val>
                <c:smooth val="0"/>
                <c:extLst xmlns:c15="http://schemas.microsoft.com/office/drawing/2012/chart">
                  <c:ext xmlns:c16="http://schemas.microsoft.com/office/drawing/2014/chart" uri="{C3380CC4-5D6E-409C-BE32-E72D297353CC}">
                    <c16:uniqueId val="{00000008-62B7-46EF-B519-4B9243A4DB11}"/>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'Total Ridership'!$A$27</c15:sqref>
                        </c15:formulaRef>
                      </c:ext>
                    </c:extLst>
                    <c:strCache>
                      <c:ptCount val="1"/>
                      <c:pt idx="0">
                        <c:v>10-11</c:v>
                      </c:pt>
                    </c:strCache>
                  </c:strRef>
                </c:tx>
                <c:cat>
                  <c:strRef>
                    <c:extLst xmlns:c15="http://schemas.microsoft.com/office/drawing/2012/chart">
                      <c:ext xmlns:c15="http://schemas.microsoft.com/office/drawing/2012/char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xmlns:c15="http://schemas.microsoft.com/office/drawing/2012/chart">
                      <c:ext xmlns:c15="http://schemas.microsoft.com/office/drawing/2012/chart" uri="{02D57815-91ED-43cb-92C2-25804820EDAC}">
                        <c15:formulaRef>
                          <c15:sqref>'Total Ridership'!$B$27:$M$27</c15:sqref>
                        </c15:formulaRef>
                      </c:ext>
                    </c:extLst>
                    <c:numCache>
                      <c:formatCode>#,##0</c:formatCode>
                      <c:ptCount val="12"/>
                      <c:pt idx="0">
                        <c:v>8876</c:v>
                      </c:pt>
                      <c:pt idx="1">
                        <c:v>8980</c:v>
                      </c:pt>
                      <c:pt idx="2">
                        <c:v>8559</c:v>
                      </c:pt>
                      <c:pt idx="3">
                        <c:v>11986</c:v>
                      </c:pt>
                      <c:pt idx="4">
                        <c:v>11221</c:v>
                      </c:pt>
                      <c:pt idx="5">
                        <c:v>9280</c:v>
                      </c:pt>
                      <c:pt idx="6">
                        <c:v>13540</c:v>
                      </c:pt>
                      <c:pt idx="7">
                        <c:v>12239</c:v>
                      </c:pt>
                      <c:pt idx="8">
                        <c:v>13675</c:v>
                      </c:pt>
                      <c:pt idx="9">
                        <c:v>14699</c:v>
                      </c:pt>
                      <c:pt idx="10">
                        <c:v>14346</c:v>
                      </c:pt>
                      <c:pt idx="11">
                        <c:v>13217</c:v>
                      </c:pt>
                    </c:numCache>
                  </c:numRef>
                </c:val>
                <c:smooth val="0"/>
                <c:extLst xmlns:c15="http://schemas.microsoft.com/office/drawing/2012/chart">
                  <c:ext xmlns:c16="http://schemas.microsoft.com/office/drawing/2014/chart" uri="{C3380CC4-5D6E-409C-BE32-E72D297353CC}">
                    <c16:uniqueId val="{00000009-62B7-46EF-B519-4B9243A4DB1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'Total Ridership'!$A$28</c15:sqref>
                        </c15:formulaRef>
                      </c:ext>
                    </c:extLst>
                    <c:strCache>
                      <c:ptCount val="1"/>
                      <c:pt idx="0">
                        <c:v>11-12</c:v>
                      </c:pt>
                    </c:strCache>
                  </c:strRef>
                </c:tx>
                <c:cat>
                  <c:strRef>
                    <c:extLst xmlns:c15="http://schemas.microsoft.com/office/drawing/2012/chart">
                      <c:ext xmlns:c15="http://schemas.microsoft.com/office/drawing/2012/char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xmlns:c15="http://schemas.microsoft.com/office/drawing/2012/chart">
                      <c:ext xmlns:c15="http://schemas.microsoft.com/office/drawing/2012/chart" uri="{02D57815-91ED-43cb-92C2-25804820EDAC}">
                        <c15:formulaRef>
                          <c15:sqref>'Total Ridership'!$B$28:$M$28</c15:sqref>
                        </c15:formulaRef>
                      </c:ext>
                    </c:extLst>
                    <c:numCache>
                      <c:formatCode>#,##0</c:formatCode>
                      <c:ptCount val="12"/>
                      <c:pt idx="0">
                        <c:v>11362</c:v>
                      </c:pt>
                      <c:pt idx="1">
                        <c:v>12340</c:v>
                      </c:pt>
                      <c:pt idx="2">
                        <c:v>12807</c:v>
                      </c:pt>
                      <c:pt idx="3">
                        <c:v>16818</c:v>
                      </c:pt>
                      <c:pt idx="4">
                        <c:v>14609</c:v>
                      </c:pt>
                      <c:pt idx="5">
                        <c:v>11120</c:v>
                      </c:pt>
                      <c:pt idx="6">
                        <c:v>15129</c:v>
                      </c:pt>
                      <c:pt idx="7">
                        <c:v>16138</c:v>
                      </c:pt>
                      <c:pt idx="8">
                        <c:v>14767</c:v>
                      </c:pt>
                      <c:pt idx="9">
                        <c:v>17934</c:v>
                      </c:pt>
                      <c:pt idx="10">
                        <c:v>17594</c:v>
                      </c:pt>
                      <c:pt idx="11">
                        <c:v>13446</c:v>
                      </c:pt>
                    </c:numCache>
                  </c:numRef>
                </c:val>
                <c:smooth val="0"/>
                <c:extLst xmlns:c15="http://schemas.microsoft.com/office/drawing/2012/chart">
                  <c:ext xmlns:c16="http://schemas.microsoft.com/office/drawing/2014/chart" uri="{C3380CC4-5D6E-409C-BE32-E72D297353CC}">
                    <c16:uniqueId val="{0000000A-62B7-46EF-B519-4B9243A4DB11}"/>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'Total Ridership'!$A$29</c15:sqref>
                        </c15:formulaRef>
                      </c:ext>
                    </c:extLst>
                    <c:strCache>
                      <c:ptCount val="1"/>
                      <c:pt idx="0">
                        <c:v>12-13</c:v>
                      </c:pt>
                    </c:strCache>
                  </c:strRef>
                </c:tx>
                <c:cat>
                  <c:strRef>
                    <c:extLst xmlns:c15="http://schemas.microsoft.com/office/drawing/2012/chart">
                      <c:ext xmlns:c15="http://schemas.microsoft.com/office/drawing/2012/char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xmlns:c15="http://schemas.microsoft.com/office/drawing/2012/chart">
                      <c:ext xmlns:c15="http://schemas.microsoft.com/office/drawing/2012/chart" uri="{02D57815-91ED-43cb-92C2-25804820EDAC}">
                        <c15:formulaRef>
                          <c15:sqref>'Total Ridership'!$B$29:$M$29</c15:sqref>
                        </c15:formulaRef>
                      </c:ext>
                    </c:extLst>
                    <c:numCache>
                      <c:formatCode>#,##0</c:formatCode>
                      <c:ptCount val="12"/>
                      <c:pt idx="0">
                        <c:v>12076</c:v>
                      </c:pt>
                      <c:pt idx="1">
                        <c:v>12528</c:v>
                      </c:pt>
                      <c:pt idx="2">
                        <c:v>10561</c:v>
                      </c:pt>
                      <c:pt idx="3">
                        <c:v>16475</c:v>
                      </c:pt>
                      <c:pt idx="4">
                        <c:v>13707</c:v>
                      </c:pt>
                      <c:pt idx="5">
                        <c:v>9704</c:v>
                      </c:pt>
                      <c:pt idx="6">
                        <c:v>14967</c:v>
                      </c:pt>
                      <c:pt idx="7">
                        <c:v>13730</c:v>
                      </c:pt>
                      <c:pt idx="8">
                        <c:v>12397</c:v>
                      </c:pt>
                      <c:pt idx="9">
                        <c:v>14621</c:v>
                      </c:pt>
                      <c:pt idx="10">
                        <c:v>13870</c:v>
                      </c:pt>
                      <c:pt idx="11">
                        <c:v>10725</c:v>
                      </c:pt>
                    </c:numCache>
                  </c:numRef>
                </c:val>
                <c:smooth val="0"/>
                <c:extLst xmlns:c15="http://schemas.microsoft.com/office/drawing/2012/chart">
                  <c:ext xmlns:c16="http://schemas.microsoft.com/office/drawing/2014/chart" uri="{C3380CC4-5D6E-409C-BE32-E72D297353CC}">
                    <c16:uniqueId val="{0000000B-62B7-46EF-B519-4B9243A4DB11}"/>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'Total Ridership'!$A$30</c15:sqref>
                        </c15:formulaRef>
                      </c:ext>
                    </c:extLst>
                    <c:strCache>
                      <c:ptCount val="1"/>
                      <c:pt idx="0">
                        <c:v>13-14</c:v>
                      </c:pt>
                    </c:strCache>
                  </c:strRef>
                </c:tx>
                <c:cat>
                  <c:strRef>
                    <c:extLst xmlns:c15="http://schemas.microsoft.com/office/drawing/2012/chart">
                      <c:ext xmlns:c15="http://schemas.microsoft.com/office/drawing/2012/char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xmlns:c15="http://schemas.microsoft.com/office/drawing/2012/chart">
                      <c:ext xmlns:c15="http://schemas.microsoft.com/office/drawing/2012/chart" uri="{02D57815-91ED-43cb-92C2-25804820EDAC}">
                        <c15:formulaRef>
                          <c15:sqref>'Total Ridership'!$B$30:$M$30</c15:sqref>
                        </c15:formulaRef>
                      </c:ext>
                    </c:extLst>
                    <c:numCache>
                      <c:formatCode>#,##0</c:formatCode>
                      <c:ptCount val="12"/>
                      <c:pt idx="0">
                        <c:v>12252</c:v>
                      </c:pt>
                      <c:pt idx="1">
                        <c:v>11874</c:v>
                      </c:pt>
                      <c:pt idx="2">
                        <c:v>9982</c:v>
                      </c:pt>
                      <c:pt idx="3">
                        <c:v>14279</c:v>
                      </c:pt>
                      <c:pt idx="4">
                        <c:v>10610</c:v>
                      </c:pt>
                      <c:pt idx="5">
                        <c:v>9125</c:v>
                      </c:pt>
                      <c:pt idx="6">
                        <c:v>12686</c:v>
                      </c:pt>
                      <c:pt idx="7">
                        <c:v>11490</c:v>
                      </c:pt>
                      <c:pt idx="8">
                        <c:v>11942</c:v>
                      </c:pt>
                      <c:pt idx="9">
                        <c:v>13703</c:v>
                      </c:pt>
                      <c:pt idx="10">
                        <c:v>12459</c:v>
                      </c:pt>
                      <c:pt idx="11">
                        <c:v>11954</c:v>
                      </c:pt>
                    </c:numCache>
                  </c:numRef>
                </c:val>
                <c:smooth val="0"/>
                <c:extLst xmlns:c15="http://schemas.microsoft.com/office/drawing/2012/chart">
                  <c:ext xmlns:c16="http://schemas.microsoft.com/office/drawing/2014/chart" uri="{C3380CC4-5D6E-409C-BE32-E72D297353CC}">
                    <c16:uniqueId val="{0000000C-62B7-46EF-B519-4B9243A4DB11}"/>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'Total Ridership'!$A$31</c15:sqref>
                        </c15:formulaRef>
                      </c:ext>
                    </c:extLst>
                    <c:strCache>
                      <c:ptCount val="1"/>
                      <c:pt idx="0">
                        <c:v>14-15</c:v>
                      </c:pt>
                    </c:strCache>
                  </c:strRef>
                </c:tx>
                <c:cat>
                  <c:strRef>
                    <c:extLst xmlns:c15="http://schemas.microsoft.com/office/drawing/2012/chart">
                      <c:ext xmlns:c15="http://schemas.microsoft.com/office/drawing/2012/chart" uri="{02D57815-91ED-43cb-92C2-25804820EDAC}">
                        <c15:formulaRef>
                          <c15:sqref>'Total Ridership'!$B$24:$M$24</c15:sqref>
                        </c15:formulaRef>
                      </c:ext>
                    </c:extLst>
                    <c:strCache>
                      <c:ptCount val="12"/>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strCache>
                  </c:strRef>
                </c:cat>
                <c:val>
                  <c:numRef>
                    <c:extLst xmlns:c15="http://schemas.microsoft.com/office/drawing/2012/chart">
                      <c:ext xmlns:c15="http://schemas.microsoft.com/office/drawing/2012/chart" uri="{02D57815-91ED-43cb-92C2-25804820EDAC}">
                        <c15:formulaRef>
                          <c15:sqref>'Total Ridership'!$B$31:$M$31</c15:sqref>
                        </c15:formulaRef>
                      </c:ext>
                    </c:extLst>
                    <c:numCache>
                      <c:formatCode>#,##0</c:formatCode>
                      <c:ptCount val="12"/>
                      <c:pt idx="0">
                        <c:v>12527</c:v>
                      </c:pt>
                      <c:pt idx="1">
                        <c:v>11361</c:v>
                      </c:pt>
                      <c:pt idx="2">
                        <c:v>10582</c:v>
                      </c:pt>
                      <c:pt idx="3">
                        <c:v>14521</c:v>
                      </c:pt>
                      <c:pt idx="4">
                        <c:v>10799</c:v>
                      </c:pt>
                      <c:pt idx="5">
                        <c:v>11684</c:v>
                      </c:pt>
                      <c:pt idx="6">
                        <c:v>12524</c:v>
                      </c:pt>
                      <c:pt idx="7">
                        <c:v>11209</c:v>
                      </c:pt>
                      <c:pt idx="8">
                        <c:v>12112</c:v>
                      </c:pt>
                      <c:pt idx="9">
                        <c:v>12479</c:v>
                      </c:pt>
                      <c:pt idx="10">
                        <c:v>11708</c:v>
                      </c:pt>
                      <c:pt idx="11">
                        <c:v>11456</c:v>
                      </c:pt>
                    </c:numCache>
                  </c:numRef>
                </c:val>
                <c:smooth val="0"/>
                <c:extLst xmlns:c15="http://schemas.microsoft.com/office/drawing/2012/chart">
                  <c:ext xmlns:c16="http://schemas.microsoft.com/office/drawing/2014/chart" uri="{C3380CC4-5D6E-409C-BE32-E72D297353CC}">
                    <c16:uniqueId val="{0000000D-62B7-46EF-B519-4B9243A4DB11}"/>
                  </c:ext>
                </c:extLst>
              </c15:ser>
            </c15:filteredLineSeries>
          </c:ext>
        </c:extLst>
      </c:lineChart>
      <c:catAx>
        <c:axId val="170134528"/>
        <c:scaling>
          <c:orientation val="minMax"/>
        </c:scaling>
        <c:delete val="0"/>
        <c:axPos val="b"/>
        <c:numFmt formatCode="General" sourceLinked="0"/>
        <c:majorTickMark val="out"/>
        <c:minorTickMark val="none"/>
        <c:tickLblPos val="nextTo"/>
        <c:crossAx val="170156800"/>
        <c:crosses val="autoZero"/>
        <c:auto val="1"/>
        <c:lblAlgn val="ctr"/>
        <c:lblOffset val="100"/>
        <c:noMultiLvlLbl val="0"/>
      </c:catAx>
      <c:valAx>
        <c:axId val="170156800"/>
        <c:scaling>
          <c:orientation val="minMax"/>
        </c:scaling>
        <c:delete val="0"/>
        <c:axPos val="l"/>
        <c:majorGridlines>
          <c:spPr>
            <a:ln>
              <a:solidFill>
                <a:schemeClr val="bg1">
                  <a:lumMod val="65000"/>
                </a:schemeClr>
              </a:solidFill>
            </a:ln>
          </c:spPr>
        </c:majorGridlines>
        <c:title>
          <c:tx>
            <c:rich>
              <a:bodyPr/>
              <a:lstStyle/>
              <a:p>
                <a:pPr>
                  <a:defRPr/>
                </a:pPr>
                <a:r>
                  <a:rPr lang="en-US"/>
                  <a:t>Monthly</a:t>
                </a:r>
                <a:r>
                  <a:rPr lang="en-US" baseline="0"/>
                  <a:t> Ridership</a:t>
                </a:r>
                <a:endParaRPr lang="en-US"/>
              </a:p>
            </c:rich>
          </c:tx>
          <c:overlay val="0"/>
        </c:title>
        <c:numFmt formatCode="#,##0" sourceLinked="1"/>
        <c:majorTickMark val="out"/>
        <c:minorTickMark val="none"/>
        <c:tickLblPos val="nextTo"/>
        <c:crossAx val="170134528"/>
        <c:crosses val="autoZero"/>
        <c:crossBetween val="midCat"/>
      </c:valAx>
    </c:plotArea>
    <c:legend>
      <c:legendPos val="b"/>
      <c:overlay val="0"/>
    </c:legend>
    <c:plotVisOnly val="1"/>
    <c:dispBlanksAs val="gap"/>
    <c:showDLblsOverMax val="0"/>
  </c:chart>
  <c:spPr>
    <a:ln>
      <a:noFill/>
    </a:ln>
  </c:spPr>
  <c:txPr>
    <a:bodyPr/>
    <a:lstStyle/>
    <a:p>
      <a:pPr>
        <a:defRPr sz="900">
          <a:latin typeface="Century Gothic" panose="020B0502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407-4ABA-9806-281473E6404E}"/>
              </c:ext>
            </c:extLst>
          </c:dPt>
          <c:dPt>
            <c:idx val="1"/>
            <c:bubble3D val="0"/>
            <c:spPr>
              <a:solidFill>
                <a:schemeClr val="tx2"/>
              </a:solidFill>
              <a:ln w="19050">
                <a:solidFill>
                  <a:schemeClr val="lt1"/>
                </a:solidFill>
              </a:ln>
              <a:effectLst/>
            </c:spPr>
            <c:extLst>
              <c:ext xmlns:c16="http://schemas.microsoft.com/office/drawing/2014/chart" uri="{C3380CC4-5D6E-409C-BE32-E72D297353CC}">
                <c16:uniqueId val="{00000003-1407-4ABA-9806-281473E640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407-4ABA-9806-281473E6404E}"/>
              </c:ext>
            </c:extLst>
          </c:dPt>
          <c:dLbls>
            <c:dLbl>
              <c:idx val="0"/>
              <c:spPr>
                <a:noFill/>
                <a:ln>
                  <a:noFill/>
                </a:ln>
                <a:effectLst/>
              </c:spPr>
              <c:txPr>
                <a:bodyPr rot="0" vert="horz"/>
                <a:lstStyle/>
                <a:p>
                  <a:pPr>
                    <a:defRPr>
                      <a:solidFill>
                        <a:schemeClr val="bg1"/>
                      </a:solidFill>
                    </a:defRPr>
                  </a:pPr>
                  <a:endParaRPr lang="en-US"/>
                </a:p>
              </c:txPr>
              <c:dLblPos val="bestFit"/>
              <c:showLegendKey val="0"/>
              <c:showVal val="1"/>
              <c:showCatName val="1"/>
              <c:showSerName val="0"/>
              <c:showPercent val="0"/>
              <c:showBubbleSize val="0"/>
              <c:extLst>
                <c:ext xmlns:c16="http://schemas.microsoft.com/office/drawing/2014/chart" uri="{C3380CC4-5D6E-409C-BE32-E72D297353CC}">
                  <c16:uniqueId val="{00000001-1407-4ABA-9806-281473E6404E}"/>
                </c:ext>
              </c:extLst>
            </c:dLbl>
            <c:dLbl>
              <c:idx val="1"/>
              <c:spPr>
                <a:noFill/>
                <a:ln>
                  <a:noFill/>
                </a:ln>
                <a:effectLst/>
              </c:spPr>
              <c:txPr>
                <a:bodyPr rot="0" vert="horz"/>
                <a:lstStyle/>
                <a:p>
                  <a:pPr>
                    <a:defRPr>
                      <a:solidFill>
                        <a:schemeClr val="bg1"/>
                      </a:solidFill>
                    </a:defRPr>
                  </a:pPr>
                  <a:endParaRPr lang="en-US"/>
                </a:p>
              </c:txPr>
              <c:dLblPos val="bestFit"/>
              <c:showLegendKey val="0"/>
              <c:showVal val="1"/>
              <c:showCatName val="1"/>
              <c:showSerName val="0"/>
              <c:showPercent val="0"/>
              <c:showBubbleSize val="0"/>
              <c:extLst>
                <c:ext xmlns:c16="http://schemas.microsoft.com/office/drawing/2014/chart" uri="{C3380CC4-5D6E-409C-BE32-E72D297353CC}">
                  <c16:uniqueId val="{00000003-1407-4ABA-9806-281473E6404E}"/>
                </c:ext>
              </c:extLst>
            </c:dLbl>
            <c:spPr>
              <a:noFill/>
              <a:ln>
                <a:noFill/>
              </a:ln>
              <a:effectLst/>
            </c:spPr>
            <c:txPr>
              <a:bodyPr rot="0" vert="horz"/>
              <a:lstStyle/>
              <a:p>
                <a:pPr>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'GF-RESOURCES'!$O$17:$O$19</c:f>
              <c:strCache>
                <c:ptCount val="3"/>
                <c:pt idx="0">
                  <c:v>Federal</c:v>
                </c:pt>
                <c:pt idx="1">
                  <c:v>State</c:v>
                </c:pt>
                <c:pt idx="2">
                  <c:v>Local</c:v>
                </c:pt>
              </c:strCache>
            </c:strRef>
          </c:cat>
          <c:val>
            <c:numRef>
              <c:f>'GF-RESOURCES'!$P$17:$P$19</c:f>
              <c:numCache>
                <c:formatCode>_("$"* #,##0_);_("$"* \(#,##0\);_("$"* "-"??_);_(@_)</c:formatCode>
                <c:ptCount val="3"/>
                <c:pt idx="0">
                  <c:v>1327000</c:v>
                </c:pt>
                <c:pt idx="1">
                  <c:v>1886000</c:v>
                </c:pt>
                <c:pt idx="2">
                  <c:v>378000</c:v>
                </c:pt>
              </c:numCache>
            </c:numRef>
          </c:val>
          <c:extLst>
            <c:ext xmlns:c16="http://schemas.microsoft.com/office/drawing/2014/chart" uri="{C3380CC4-5D6E-409C-BE32-E72D297353CC}">
              <c16:uniqueId val="{00000006-1407-4ABA-9806-281473E6404E}"/>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9758128896647642"/>
          <c:y val="0.23651599036043761"/>
          <c:w val="0.23185505269116991"/>
          <c:h val="0.49377899741915926"/>
        </c:manualLayout>
      </c:layout>
      <c:overlay val="0"/>
      <c:spPr>
        <a:noFill/>
        <a:ln>
          <a:noFill/>
        </a:ln>
        <a:effectLst/>
      </c:spPr>
      <c:txPr>
        <a:bodyPr rot="0" vert="horz"/>
        <a:lstStyle/>
        <a:p>
          <a:pPr rtl="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Gothic" panose="020B0502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Umpqua Transit Master Plan">
      <a:dk1>
        <a:sysClr val="windowText" lastClr="000000"/>
      </a:dk1>
      <a:lt1>
        <a:sysClr val="window" lastClr="FFFFFF"/>
      </a:lt1>
      <a:dk2>
        <a:srgbClr val="44546A"/>
      </a:dk2>
      <a:lt2>
        <a:srgbClr val="E7E6E6"/>
      </a:lt2>
      <a:accent1>
        <a:srgbClr val="204A80"/>
      </a:accent1>
      <a:accent2>
        <a:srgbClr val="0084C8"/>
      </a:accent2>
      <a:accent3>
        <a:srgbClr val="3B7C42"/>
      </a:accent3>
      <a:accent4>
        <a:srgbClr val="000000"/>
      </a:accent4>
      <a:accent5>
        <a:srgbClr val="000000"/>
      </a:accent5>
      <a:accent6>
        <a:srgbClr val="7F7F7F"/>
      </a:accent6>
      <a:hlink>
        <a:srgbClr val="BFBFBF"/>
      </a:hlink>
      <a:folHlink>
        <a:srgbClr val="F2F2F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1E5A-E34A-4890-9941-5B0F1D1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Ruiz-Leon</dc:creator>
  <cp:keywords/>
  <dc:description/>
  <cp:lastModifiedBy>Krista Purser</cp:lastModifiedBy>
  <cp:revision>5</cp:revision>
  <cp:lastPrinted>2021-09-09T20:13:00Z</cp:lastPrinted>
  <dcterms:created xsi:type="dcterms:W3CDTF">2021-10-05T23:13:00Z</dcterms:created>
  <dcterms:modified xsi:type="dcterms:W3CDTF">2021-10-06T20:25:00Z</dcterms:modified>
</cp:coreProperties>
</file>